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31999618"/>
        <w:docPartObj>
          <w:docPartGallery w:val="Cover Pages"/>
          <w:docPartUnique/>
        </w:docPartObj>
      </w:sdtPr>
      <w:sdtEndPr>
        <w:rPr>
          <w:rFonts w:ascii="Comic Sans MS" w:hAnsi="Comic Sans MS"/>
          <w:sz w:val="22"/>
          <w:szCs w:val="22"/>
          <w:lang w:val="en-GB"/>
        </w:rPr>
      </w:sdtEndPr>
      <w:sdtContent>
        <w:p w:rsidR="00731275" w:rsidRDefault="001A078C">
          <w:r>
            <w:rPr>
              <w:noProof/>
              <w:lang w:val="en-GB" w:eastAsia="en-GB"/>
            </w:rPr>
            <mc:AlternateContent>
              <mc:Choice Requires="wpg">
                <w:drawing>
                  <wp:anchor distT="0" distB="0" distL="114300" distR="114300" simplePos="0" relativeHeight="251662336" behindDoc="0" locked="0" layoutInCell="0" allowOverlap="1" wp14:anchorId="117B97A6" wp14:editId="4D7587F5">
                    <wp:simplePos x="0" y="0"/>
                    <wp:positionH relativeFrom="page">
                      <wp:posOffset>5600065</wp:posOffset>
                    </wp:positionH>
                    <wp:positionV relativeFrom="page">
                      <wp:posOffset>-52070</wp:posOffset>
                    </wp:positionV>
                    <wp:extent cx="3271023" cy="10054590"/>
                    <wp:effectExtent l="0" t="0" r="5715"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1023" cy="10054590"/>
                              <a:chOff x="7073" y="0"/>
                              <a:chExt cx="5167" cy="15840"/>
                            </a:xfrm>
                          </wpg:grpSpPr>
                          <wpg:grpSp>
                            <wpg:cNvPr id="5" name="Group 12"/>
                            <wpg:cNvGrpSpPr>
                              <a:grpSpLocks/>
                            </wpg:cNvGrpSpPr>
                            <wpg:grpSpPr bwMode="auto">
                              <a:xfrm>
                                <a:off x="7344" y="0"/>
                                <a:ext cx="4896" cy="15840"/>
                                <a:chOff x="7560" y="0"/>
                                <a:chExt cx="4700" cy="15840"/>
                              </a:xfrm>
                            </wpg:grpSpPr>
                            <wps:wsp>
                              <wps:cNvPr id="8" name="Rectangle 13"/>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14"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0" name="Rectangle 15"/>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Jaar"/>
                                    <w:id w:val="103676087"/>
                                    <w:dataBinding w:prefixMappings="xmlns:ns0='http://schemas.microsoft.com/office/2006/coverPageProps'" w:xpath="/ns0:CoverPageProperties[1]/ns0:PublishDate[1]" w:storeItemID="{55AF091B-3C7A-41E3-B477-F2FDAA23CFDA}"/>
                                    <w:date w:fullDate="2018-05-10T00:00:00Z">
                                      <w:dateFormat w:val="yyyy"/>
                                      <w:lid w:val="nl-NL"/>
                                      <w:storeMappedDataAs w:val="dateTime"/>
                                      <w:calendar w:val="gregorian"/>
                                    </w:date>
                                  </w:sdtPr>
                                  <w:sdtEndPr/>
                                  <w:sdtContent>
                                    <w:p w:rsidR="00041496" w:rsidRDefault="00041496">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wps:txbx>
                            <wps:bodyPr rot="0" vert="horz" wrap="square" lIns="365760" tIns="182880" rIns="182880" bIns="182880" anchor="b" anchorCtr="0" upright="1">
                              <a:noAutofit/>
                            </wps:bodyPr>
                          </wps:wsp>
                          <wps:wsp>
                            <wps:cNvPr id="11" name="Rectangle 16"/>
                            <wps:cNvSpPr>
                              <a:spLocks noChangeArrowheads="1"/>
                            </wps:cNvSpPr>
                            <wps:spPr bwMode="auto">
                              <a:xfrm>
                                <a:off x="7073"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lang w:val="en-US"/>
                                    </w:rPr>
                                    <w:alias w:val="Auteur"/>
                                    <w:id w:val="103676095"/>
                                    <w:dataBinding w:prefixMappings="xmlns:ns0='http://schemas.openxmlformats.org/package/2006/metadata/core-properties' xmlns:ns1='http://purl.org/dc/elements/1.1/'" w:xpath="/ns0:coreProperties[1]/ns1:creator[1]" w:storeItemID="{6C3C8BC8-F283-45AE-878A-BAB7291924A1}"/>
                                    <w:text/>
                                  </w:sdtPr>
                                  <w:sdtEndPr/>
                                  <w:sdtContent>
                                    <w:p w:rsidR="00041496" w:rsidRPr="001B5762" w:rsidRDefault="00041496">
                                      <w:pPr>
                                        <w:pStyle w:val="Geenafstand"/>
                                        <w:spacing w:line="360" w:lineRule="auto"/>
                                        <w:rPr>
                                          <w:color w:val="FFFFFF" w:themeColor="background1"/>
                                          <w:sz w:val="24"/>
                                          <w:lang w:val="en-US"/>
                                        </w:rPr>
                                      </w:pPr>
                                      <w:r w:rsidRPr="001B5762">
                                        <w:rPr>
                                          <w:b/>
                                          <w:color w:val="FFFFFF" w:themeColor="background1"/>
                                          <w:sz w:val="28"/>
                                          <w:lang w:val="en-US"/>
                                        </w:rPr>
                                        <w:t>Prof dr  M Claeys</w:t>
                                      </w:r>
                                    </w:p>
                                  </w:sdtContent>
                                </w:sdt>
                                <w:sdt>
                                  <w:sdtPr>
                                    <w:rPr>
                                      <w:b/>
                                      <w:color w:val="FFFFFF" w:themeColor="background1"/>
                                      <w:sz w:val="24"/>
                                      <w:lang w:val="en-US"/>
                                    </w:rPr>
                                    <w:alias w:val="Bedrijf"/>
                                    <w:id w:val="103676099"/>
                                    <w:dataBinding w:prefixMappings="xmlns:ns0='http://schemas.openxmlformats.org/officeDocument/2006/extended-properties'" w:xpath="/ns0:Properties[1]/ns0:Company[1]" w:storeItemID="{6668398D-A668-4E3E-A5EB-62B293D839F1}"/>
                                    <w:text/>
                                  </w:sdtPr>
                                  <w:sdtEndPr/>
                                  <w:sdtContent>
                                    <w:p w:rsidR="00041496" w:rsidRPr="001B5762" w:rsidRDefault="00041496">
                                      <w:pPr>
                                        <w:pStyle w:val="Geenafstand"/>
                                        <w:spacing w:line="360" w:lineRule="auto"/>
                                        <w:rPr>
                                          <w:color w:val="FFFFFF" w:themeColor="background1"/>
                                          <w:sz w:val="24"/>
                                          <w:lang w:val="en-US"/>
                                        </w:rPr>
                                      </w:pPr>
                                      <w:r w:rsidRPr="001B5762">
                                        <w:rPr>
                                          <w:b/>
                                          <w:color w:val="FFFFFF" w:themeColor="background1"/>
                                          <w:sz w:val="24"/>
                                          <w:lang w:val="en-US"/>
                                        </w:rPr>
                                        <w:t>National Coordinator STEMI registry</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18-05-10T00:00:00Z">
                                      <w:dateFormat w:val="d-M-yyyy"/>
                                      <w:lid w:val="nl-NL"/>
                                      <w:storeMappedDataAs w:val="dateTime"/>
                                      <w:calendar w:val="gregorian"/>
                                    </w:date>
                                  </w:sdtPr>
                                  <w:sdtEndPr/>
                                  <w:sdtContent>
                                    <w:p w:rsidR="00041496" w:rsidRDefault="00041496">
                                      <w:pPr>
                                        <w:pStyle w:val="Geenafstand"/>
                                        <w:spacing w:line="360" w:lineRule="auto"/>
                                        <w:rPr>
                                          <w:color w:val="FFFFFF" w:themeColor="background1"/>
                                        </w:rPr>
                                      </w:pPr>
                                      <w:r>
                                        <w:rPr>
                                          <w:color w:val="FFFFFF" w:themeColor="background1"/>
                                        </w:rPr>
                                        <w:t>10-5-2018</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11" o:spid="_x0000_s1026" style="position:absolute;margin-left:440.95pt;margin-top:-4.1pt;width:257.55pt;height:791.7pt;z-index:251662336;mso-height-percent:1000;mso-position-horizontal-relative:page;mso-position-vertical-relative:page;mso-height-percent:1000" coordorigin="7073" coordsize="516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" o:allowincell="f">
                    <v:group id="Group 12"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3"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14"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7" o:title="" opacity="52428f" o:opacity2="52428f" type="pattern"/>
                        <v:shadow color="#d8d8d8 [2732]" offset="3pt,3pt"/>
                      </v:rect>
                    </v:group>
                    <v:rect id="Rectangle 15"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QxsQA&#10;AADbAAAADwAAAGRycy9kb3ducmV2LnhtbESPT2vCQBDF74LfYRmhF6kbeyiSukoVLIWW4p/geciO&#10;2dTsbMhuTfrtO4eCtzfMm9+8t1wPvlE36mId2MB8loEiLoOtuTJQnHaPC1AxIVtsApOBX4qwXo1H&#10;S8xt6PlAt2OqlEA45mjApdTmWsfSkcc4Cy2x7C6h85hk7CptO+wF7hv9lGXP2mPN8sFhS1tH5fX4&#10;44Xiix4/3PC932zoc/H1RudCT415mAyvL6ASDelu/r9+txJf0ks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EMbEAAAA2wAAAA8AAAAAAAAAAAAAAAAAmAIAAGRycy9k&#10;b3ducmV2LnhtbFBLBQYAAAAABAAEAPUAAACJAw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Jaar"/>
                              <w:id w:val="103676087"/>
                              <w:dataBinding w:prefixMappings="xmlns:ns0='http://schemas.microsoft.com/office/2006/coverPageProps'" w:xpath="/ns0:CoverPageProperties[1]/ns0:PublishDate[1]" w:storeItemID="{55AF091B-3C7A-41E3-B477-F2FDAA23CFDA}"/>
                              <w:date w:fullDate="2018-05-10T00:00:00Z">
                                <w:dateFormat w:val="yyyy"/>
                                <w:lid w:val="nl-NL"/>
                                <w:storeMappedDataAs w:val="dateTime"/>
                                <w:calendar w:val="gregorian"/>
                              </w:date>
                            </w:sdtPr>
                            <w:sdtEndPr/>
                            <w:sdtContent>
                              <w:p w:rsidR="00041496" w:rsidRDefault="00041496">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Rectangle 16" o:spid="_x0000_s1031" style="position:absolute;left:7073;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sdt>
                            <w:sdtPr>
                              <w:rPr>
                                <w:b/>
                                <w:color w:val="FFFFFF" w:themeColor="background1"/>
                                <w:sz w:val="28"/>
                                <w:lang w:val="en-US"/>
                              </w:rPr>
                              <w:alias w:val="Auteur"/>
                              <w:id w:val="103676095"/>
                              <w:dataBinding w:prefixMappings="xmlns:ns0='http://schemas.openxmlformats.org/package/2006/metadata/core-properties' xmlns:ns1='http://purl.org/dc/elements/1.1/'" w:xpath="/ns0:coreProperties[1]/ns1:creator[1]" w:storeItemID="{6C3C8BC8-F283-45AE-878A-BAB7291924A1}"/>
                              <w:text/>
                            </w:sdtPr>
                            <w:sdtEndPr/>
                            <w:sdtContent>
                              <w:p w:rsidR="00041496" w:rsidRPr="001B5762" w:rsidRDefault="00041496">
                                <w:pPr>
                                  <w:pStyle w:val="Geenafstand"/>
                                  <w:spacing w:line="360" w:lineRule="auto"/>
                                  <w:rPr>
                                    <w:color w:val="FFFFFF" w:themeColor="background1"/>
                                    <w:sz w:val="24"/>
                                    <w:lang w:val="en-US"/>
                                  </w:rPr>
                                </w:pPr>
                                <w:r w:rsidRPr="001B5762">
                                  <w:rPr>
                                    <w:b/>
                                    <w:color w:val="FFFFFF" w:themeColor="background1"/>
                                    <w:sz w:val="28"/>
                                    <w:lang w:val="en-US"/>
                                  </w:rPr>
                                  <w:t>Prof dr  M Claeys</w:t>
                                </w:r>
                              </w:p>
                            </w:sdtContent>
                          </w:sdt>
                          <w:sdt>
                            <w:sdtPr>
                              <w:rPr>
                                <w:b/>
                                <w:color w:val="FFFFFF" w:themeColor="background1"/>
                                <w:sz w:val="24"/>
                                <w:lang w:val="en-US"/>
                              </w:rPr>
                              <w:alias w:val="Bedrijf"/>
                              <w:id w:val="103676099"/>
                              <w:dataBinding w:prefixMappings="xmlns:ns0='http://schemas.openxmlformats.org/officeDocument/2006/extended-properties'" w:xpath="/ns0:Properties[1]/ns0:Company[1]" w:storeItemID="{6668398D-A668-4E3E-A5EB-62B293D839F1}"/>
                              <w:text/>
                            </w:sdtPr>
                            <w:sdtEndPr/>
                            <w:sdtContent>
                              <w:p w:rsidR="00041496" w:rsidRPr="001B5762" w:rsidRDefault="00041496">
                                <w:pPr>
                                  <w:pStyle w:val="Geenafstand"/>
                                  <w:spacing w:line="360" w:lineRule="auto"/>
                                  <w:rPr>
                                    <w:color w:val="FFFFFF" w:themeColor="background1"/>
                                    <w:sz w:val="24"/>
                                    <w:lang w:val="en-US"/>
                                  </w:rPr>
                                </w:pPr>
                                <w:r w:rsidRPr="001B5762">
                                  <w:rPr>
                                    <w:b/>
                                    <w:color w:val="FFFFFF" w:themeColor="background1"/>
                                    <w:sz w:val="24"/>
                                    <w:lang w:val="en-US"/>
                                  </w:rPr>
                                  <w:t>National Coordinator STEMI registry</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18-05-10T00:00:00Z">
                                <w:dateFormat w:val="d-M-yyyy"/>
                                <w:lid w:val="nl-NL"/>
                                <w:storeMappedDataAs w:val="dateTime"/>
                                <w:calendar w:val="gregorian"/>
                              </w:date>
                            </w:sdtPr>
                            <w:sdtEndPr/>
                            <w:sdtContent>
                              <w:p w:rsidR="00041496" w:rsidRDefault="00041496">
                                <w:pPr>
                                  <w:pStyle w:val="Geenafstand"/>
                                  <w:spacing w:line="360" w:lineRule="auto"/>
                                  <w:rPr>
                                    <w:color w:val="FFFFFF" w:themeColor="background1"/>
                                  </w:rPr>
                                </w:pPr>
                                <w:r>
                                  <w:rPr>
                                    <w:color w:val="FFFFFF" w:themeColor="background1"/>
                                  </w:rPr>
                                  <w:t>10-5-2018</w:t>
                                </w:r>
                              </w:p>
                            </w:sdtContent>
                          </w:sdt>
                        </w:txbxContent>
                      </v:textbox>
                    </v:rect>
                    <w10:wrap anchorx="page" anchory="page"/>
                  </v:group>
                </w:pict>
              </mc:Fallback>
            </mc:AlternateContent>
          </w:r>
        </w:p>
        <w:p w:rsidR="00FF7A84" w:rsidRPr="001B5762" w:rsidRDefault="001A078C" w:rsidP="001B5762">
          <w:pPr>
            <w:rPr>
              <w:rFonts w:ascii="Comic Sans MS" w:hAnsi="Comic Sans MS"/>
              <w:sz w:val="22"/>
              <w:szCs w:val="22"/>
              <w:lang w:val="en-GB"/>
            </w:rPr>
          </w:pPr>
          <w:r>
            <w:rPr>
              <w:noProof/>
              <w:lang w:val="en-GB" w:eastAsia="en-GB"/>
            </w:rPr>
            <mc:AlternateContent>
              <mc:Choice Requires="wps">
                <w:drawing>
                  <wp:anchor distT="0" distB="0" distL="114300" distR="114300" simplePos="0" relativeHeight="251664384" behindDoc="0" locked="0" layoutInCell="0" allowOverlap="1" wp14:anchorId="30ED94E0" wp14:editId="25752B2B">
                    <wp:simplePos x="0" y="0"/>
                    <wp:positionH relativeFrom="page">
                      <wp:posOffset>240030</wp:posOffset>
                    </wp:positionH>
                    <wp:positionV relativeFrom="page">
                      <wp:posOffset>4302760</wp:posOffset>
                    </wp:positionV>
                    <wp:extent cx="6972300" cy="1711960"/>
                    <wp:effectExtent l="0" t="0" r="15240" b="215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71196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lang w:val="en-US"/>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041496" w:rsidRDefault="00041496">
                                    <w:pPr>
                                      <w:pStyle w:val="Geenafstand"/>
                                      <w:jc w:val="right"/>
                                      <w:rPr>
                                        <w:rFonts w:asciiTheme="majorHAnsi" w:eastAsiaTheme="majorEastAsia" w:hAnsiTheme="majorHAnsi" w:cstheme="majorBidi"/>
                                        <w:color w:val="FFFFFF" w:themeColor="background1"/>
                                        <w:sz w:val="72"/>
                                        <w:szCs w:val="72"/>
                                        <w:lang w:val="en-US"/>
                                      </w:rPr>
                                    </w:pPr>
                                    <w:r>
                                      <w:rPr>
                                        <w:rFonts w:asciiTheme="majorHAnsi" w:eastAsiaTheme="majorEastAsia" w:hAnsiTheme="majorHAnsi" w:cstheme="majorBidi"/>
                                        <w:color w:val="FFFFFF" w:themeColor="background1"/>
                                        <w:sz w:val="72"/>
                                        <w:szCs w:val="72"/>
                                        <w:lang w:val="en-US"/>
                                      </w:rPr>
                                      <w:t xml:space="preserve">quality indicators and mortality in </w:t>
                                    </w:r>
                                    <w:r w:rsidRPr="000F4DA1">
                                      <w:rPr>
                                        <w:rFonts w:asciiTheme="majorHAnsi" w:eastAsiaTheme="majorEastAsia" w:hAnsiTheme="majorHAnsi" w:cstheme="majorBidi"/>
                                        <w:color w:val="FFFFFF" w:themeColor="background1"/>
                                        <w:sz w:val="72"/>
                                        <w:szCs w:val="72"/>
                                        <w:lang w:val="en-US"/>
                                      </w:rPr>
                                      <w:t xml:space="preserve"> Belgian STEMI patients</w:t>
                                    </w:r>
                                  </w:p>
                                </w:sdtContent>
                              </w:sdt>
                              <w:p w:rsidR="00041496" w:rsidRPr="00731275" w:rsidRDefault="00041496">
                                <w:pPr>
                                  <w:pStyle w:val="Geenafstand"/>
                                  <w:jc w:val="right"/>
                                  <w:rPr>
                                    <w:rFonts w:asciiTheme="majorHAnsi" w:eastAsiaTheme="majorEastAsia" w:hAnsiTheme="majorHAnsi" w:cstheme="majorBidi"/>
                                    <w:color w:val="FFFFFF" w:themeColor="background1"/>
                                    <w:sz w:val="72"/>
                                    <w:szCs w:val="72"/>
                                    <w:lang w:val="en-US"/>
                                  </w:rPr>
                                </w:pPr>
                                <w:r>
                                  <w:rPr>
                                    <w:rFonts w:asciiTheme="majorHAnsi" w:eastAsiaTheme="majorEastAsia" w:hAnsiTheme="majorHAnsi" w:cstheme="majorBidi"/>
                                    <w:color w:val="FFFFFF" w:themeColor="background1"/>
                                    <w:sz w:val="72"/>
                                    <w:szCs w:val="72"/>
                                    <w:lang w:val="en-US"/>
                                  </w:rPr>
                                  <w:t>Period 2009-2017</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7" o:spid="_x0000_s1032" style="position:absolute;margin-left:18.9pt;margin-top:338.8pt;width:549pt;height:134.8pt;z-index:25166438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lang w:val="en-US"/>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041496" w:rsidRDefault="00041496">
                              <w:pPr>
                                <w:pStyle w:val="Geenafstand"/>
                                <w:jc w:val="right"/>
                                <w:rPr>
                                  <w:rFonts w:asciiTheme="majorHAnsi" w:eastAsiaTheme="majorEastAsia" w:hAnsiTheme="majorHAnsi" w:cstheme="majorBidi"/>
                                  <w:color w:val="FFFFFF" w:themeColor="background1"/>
                                  <w:sz w:val="72"/>
                                  <w:szCs w:val="72"/>
                                  <w:lang w:val="en-US"/>
                                </w:rPr>
                              </w:pPr>
                              <w:r>
                                <w:rPr>
                                  <w:rFonts w:asciiTheme="majorHAnsi" w:eastAsiaTheme="majorEastAsia" w:hAnsiTheme="majorHAnsi" w:cstheme="majorBidi"/>
                                  <w:color w:val="FFFFFF" w:themeColor="background1"/>
                                  <w:sz w:val="72"/>
                                  <w:szCs w:val="72"/>
                                  <w:lang w:val="en-US"/>
                                </w:rPr>
                                <w:t xml:space="preserve">quality indicators and mortality in </w:t>
                              </w:r>
                              <w:r w:rsidRPr="000F4DA1">
                                <w:rPr>
                                  <w:rFonts w:asciiTheme="majorHAnsi" w:eastAsiaTheme="majorEastAsia" w:hAnsiTheme="majorHAnsi" w:cstheme="majorBidi"/>
                                  <w:color w:val="FFFFFF" w:themeColor="background1"/>
                                  <w:sz w:val="72"/>
                                  <w:szCs w:val="72"/>
                                  <w:lang w:val="en-US"/>
                                </w:rPr>
                                <w:t xml:space="preserve"> Belgian STEMI patients</w:t>
                              </w:r>
                            </w:p>
                          </w:sdtContent>
                        </w:sdt>
                        <w:p w:rsidR="00041496" w:rsidRPr="00731275" w:rsidRDefault="00041496">
                          <w:pPr>
                            <w:pStyle w:val="Geenafstand"/>
                            <w:jc w:val="right"/>
                            <w:rPr>
                              <w:rFonts w:asciiTheme="majorHAnsi" w:eastAsiaTheme="majorEastAsia" w:hAnsiTheme="majorHAnsi" w:cstheme="majorBidi"/>
                              <w:color w:val="FFFFFF" w:themeColor="background1"/>
                              <w:sz w:val="72"/>
                              <w:szCs w:val="72"/>
                              <w:lang w:val="en-US"/>
                            </w:rPr>
                          </w:pPr>
                          <w:r>
                            <w:rPr>
                              <w:rFonts w:asciiTheme="majorHAnsi" w:eastAsiaTheme="majorEastAsia" w:hAnsiTheme="majorHAnsi" w:cstheme="majorBidi"/>
                              <w:color w:val="FFFFFF" w:themeColor="background1"/>
                              <w:sz w:val="72"/>
                              <w:szCs w:val="72"/>
                              <w:lang w:val="en-US"/>
                            </w:rPr>
                            <w:t>Period 2009-2017</w:t>
                          </w:r>
                        </w:p>
                      </w:txbxContent>
                    </v:textbox>
                    <w10:wrap anchorx="page" anchory="page"/>
                  </v:rect>
                </w:pict>
              </mc:Fallback>
            </mc:AlternateContent>
          </w:r>
          <w:r w:rsidR="00A91283">
            <w:rPr>
              <w:snapToGrid w:val="0"/>
              <w:color w:val="000000"/>
              <w:w w:val="0"/>
              <w:sz w:val="0"/>
              <w:szCs w:val="0"/>
              <w:u w:color="000000"/>
              <w:bdr w:val="none" w:sz="0" w:space="0" w:color="000000"/>
              <w:shd w:val="clear" w:color="000000" w:fill="000000"/>
              <w:lang w:val="en-US"/>
            </w:rPr>
            <w:t xml:space="preserve">   </w:t>
          </w:r>
          <w:r w:rsidR="001D02DD" w:rsidRPr="00143B92">
            <w:rPr>
              <w:snapToGrid w:val="0"/>
              <w:color w:val="000000"/>
              <w:w w:val="0"/>
              <w:sz w:val="0"/>
              <w:szCs w:val="0"/>
              <w:u w:color="000000"/>
              <w:bdr w:val="none" w:sz="0" w:space="0" w:color="000000"/>
              <w:shd w:val="clear" w:color="000000" w:fill="000000"/>
              <w:lang w:val="en-US"/>
            </w:rPr>
            <w:t xml:space="preserve"> </w:t>
          </w:r>
          <w:r w:rsidR="00A91283">
            <w:rPr>
              <w:snapToGrid w:val="0"/>
              <w:color w:val="000000"/>
              <w:w w:val="0"/>
              <w:sz w:val="0"/>
              <w:szCs w:val="0"/>
              <w:u w:color="000000"/>
              <w:bdr w:val="none" w:sz="0" w:space="0" w:color="000000"/>
              <w:shd w:val="clear" w:color="000000" w:fill="000000"/>
              <w:lang w:val="en-US"/>
            </w:rPr>
            <w:t xml:space="preserve">  </w:t>
          </w:r>
          <w:bookmarkStart w:id="0" w:name="_GoBack"/>
          <w:r w:rsidR="001D02DD">
            <w:rPr>
              <w:rFonts w:ascii="Arial" w:hAnsi="Arial" w:cs="Arial"/>
              <w:noProof/>
              <w:color w:val="0096A0"/>
              <w:sz w:val="20"/>
              <w:szCs w:val="20"/>
              <w:lang w:val="en-GB" w:eastAsia="en-GB"/>
            </w:rPr>
            <w:drawing>
              <wp:inline distT="0" distB="0" distL="0" distR="0" wp14:anchorId="1B05E9A3" wp14:editId="4CE0E3F6">
                <wp:extent cx="2228850" cy="2228850"/>
                <wp:effectExtent l="19050" t="0" r="0" b="0"/>
                <wp:docPr id="20" name="Afbeelding 8" descr="The ESC Textbook of Intensive and Acute Cardiovascular C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ESC Textbook of Intensive and Acute Cardiovascular Care">
                          <a:hlinkClick r:id="rId8"/>
                        </pic:cNvPr>
                        <pic:cNvPicPr>
                          <a:picLocks noChangeAspect="1" noChangeArrowheads="1"/>
                        </pic:cNvPicPr>
                      </pic:nvPicPr>
                      <pic:blipFill>
                        <a:blip r:embed="rId9" cstate="print"/>
                        <a:srcRect/>
                        <a:stretch>
                          <a:fillRect/>
                        </a:stretch>
                      </pic:blipFill>
                      <pic:spPr bwMode="auto">
                        <a:xfrm>
                          <a:off x="0" y="0"/>
                          <a:ext cx="2228850" cy="2228850"/>
                        </a:xfrm>
                        <a:prstGeom prst="rect">
                          <a:avLst/>
                        </a:prstGeom>
                        <a:noFill/>
                        <a:ln w="9525">
                          <a:noFill/>
                          <a:miter lim="800000"/>
                          <a:headEnd/>
                          <a:tailEnd/>
                        </a:ln>
                      </pic:spPr>
                    </pic:pic>
                  </a:graphicData>
                </a:graphic>
              </wp:inline>
            </w:drawing>
          </w:r>
          <w:bookmarkEnd w:id="0"/>
          <w:r w:rsidR="001D02DD" w:rsidRPr="00143B92">
            <w:rPr>
              <w:rFonts w:ascii="Arial" w:hAnsi="Arial" w:cs="Arial"/>
              <w:noProof/>
              <w:color w:val="0096A0"/>
              <w:sz w:val="20"/>
              <w:szCs w:val="20"/>
              <w:lang w:val="en-US" w:eastAsia="nl-BE"/>
            </w:rPr>
            <w:t xml:space="preserve">            </w:t>
          </w:r>
          <w:r w:rsidR="00A91283">
            <w:rPr>
              <w:rFonts w:ascii="Arial" w:hAnsi="Arial" w:cs="Arial"/>
              <w:noProof/>
              <w:color w:val="0096A0"/>
              <w:sz w:val="20"/>
              <w:szCs w:val="20"/>
              <w:lang w:val="nl-BE" w:eastAsia="nl-BE"/>
            </w:rPr>
            <w:t xml:space="preserve">    </w:t>
          </w:r>
          <w:r w:rsidR="00A37A1E">
            <w:rPr>
              <w:rFonts w:ascii="Arial" w:hAnsi="Arial" w:cs="Arial"/>
              <w:noProof/>
              <w:color w:val="0096A0"/>
              <w:sz w:val="20"/>
              <w:szCs w:val="20"/>
              <w:lang w:val="en-GB" w:eastAsia="en-GB"/>
            </w:rPr>
            <w:drawing>
              <wp:inline distT="0" distB="0" distL="0" distR="0" wp14:anchorId="62AD4C1F" wp14:editId="2D4E3028">
                <wp:extent cx="1790700" cy="2202720"/>
                <wp:effectExtent l="19050" t="0" r="0" b="0"/>
                <wp:docPr id="25" name="Afbeelding 10" descr="P:\BIWAC\BIWAC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BIWAC\BIWAC_small.jpg"/>
                        <pic:cNvPicPr>
                          <a:picLocks noChangeAspect="1" noChangeArrowheads="1"/>
                        </pic:cNvPicPr>
                      </pic:nvPicPr>
                      <pic:blipFill>
                        <a:blip r:embed="rId10" cstate="print"/>
                        <a:srcRect/>
                        <a:stretch>
                          <a:fillRect/>
                        </a:stretch>
                      </pic:blipFill>
                      <pic:spPr bwMode="auto">
                        <a:xfrm>
                          <a:off x="0" y="0"/>
                          <a:ext cx="1794809" cy="2207774"/>
                        </a:xfrm>
                        <a:prstGeom prst="rect">
                          <a:avLst/>
                        </a:prstGeom>
                        <a:noFill/>
                        <a:ln w="9525">
                          <a:noFill/>
                          <a:miter lim="800000"/>
                          <a:headEnd/>
                          <a:tailEnd/>
                        </a:ln>
                      </pic:spPr>
                    </pic:pic>
                  </a:graphicData>
                </a:graphic>
              </wp:inline>
            </w:drawing>
          </w:r>
          <w:r w:rsidR="00A91283">
            <w:rPr>
              <w:rFonts w:ascii="Arial" w:hAnsi="Arial" w:cs="Arial"/>
              <w:noProof/>
              <w:color w:val="0096A0"/>
              <w:sz w:val="20"/>
              <w:szCs w:val="20"/>
              <w:lang w:val="nl-BE" w:eastAsia="nl-BE"/>
            </w:rPr>
            <w:t xml:space="preserve">                  </w:t>
          </w:r>
          <w:r w:rsidR="00731275">
            <w:rPr>
              <w:rFonts w:ascii="Comic Sans MS" w:hAnsi="Comic Sans MS"/>
              <w:sz w:val="22"/>
              <w:szCs w:val="22"/>
              <w:lang w:val="en-GB"/>
            </w:rPr>
            <w:br w:type="page"/>
          </w:r>
        </w:p>
      </w:sdtContent>
    </w:sdt>
    <w:p w:rsidR="002D7288" w:rsidRPr="009930C2" w:rsidRDefault="002D7288" w:rsidP="002D7288">
      <w:pPr>
        <w:rPr>
          <w:rFonts w:ascii="Comic Sans MS" w:hAnsi="Comic Sans MS"/>
          <w:b/>
          <w:sz w:val="22"/>
          <w:szCs w:val="22"/>
          <w:u w:val="single"/>
          <w:lang w:val="en-GB"/>
        </w:rPr>
      </w:pPr>
      <w:r w:rsidRPr="009930C2">
        <w:rPr>
          <w:rFonts w:ascii="Comic Sans MS" w:hAnsi="Comic Sans MS"/>
          <w:b/>
          <w:sz w:val="22"/>
          <w:szCs w:val="22"/>
          <w:u w:val="single"/>
          <w:lang w:val="en-GB"/>
        </w:rPr>
        <w:lastRenderedPageBreak/>
        <w:t>Background</w:t>
      </w:r>
    </w:p>
    <w:p w:rsidR="002D7288" w:rsidRPr="007D5584" w:rsidRDefault="002D7288" w:rsidP="002D7288">
      <w:pPr>
        <w:rPr>
          <w:rFonts w:ascii="Comic Sans MS" w:hAnsi="Comic Sans MS"/>
          <w:sz w:val="22"/>
          <w:szCs w:val="22"/>
          <w:lang w:val="en-GB"/>
        </w:rPr>
      </w:pPr>
    </w:p>
    <w:p w:rsidR="002D7288" w:rsidRPr="00416AA9" w:rsidRDefault="002D7288" w:rsidP="002D7288">
      <w:pPr>
        <w:jc w:val="both"/>
        <w:rPr>
          <w:rFonts w:ascii="Comic Sans MS" w:hAnsi="Comic Sans MS"/>
          <w:sz w:val="22"/>
          <w:szCs w:val="22"/>
          <w:lang w:val="en-GB"/>
        </w:rPr>
      </w:pPr>
      <w:r w:rsidRPr="00416AA9">
        <w:rPr>
          <w:rFonts w:ascii="Comic Sans MS" w:hAnsi="Comic Sans MS"/>
          <w:sz w:val="22"/>
          <w:szCs w:val="22"/>
          <w:lang w:val="en-GB"/>
        </w:rPr>
        <w:t>The current guidelines for the management of ST-segment elevation myocardial infarction (STEMI) recommend primary percutaneous coronary intervention (pPCI) as the preferred treatment strategy if it can be conducted in a timely fashion by an experienced catheterisation team. However, because of logistical restraints, PCI can only be offer</w:t>
      </w:r>
      <w:r>
        <w:rPr>
          <w:rFonts w:ascii="Comic Sans MS" w:hAnsi="Comic Sans MS"/>
          <w:sz w:val="22"/>
          <w:szCs w:val="22"/>
          <w:lang w:val="en-GB"/>
        </w:rPr>
        <w:t xml:space="preserve">ed in less than 50% of Belgian </w:t>
      </w:r>
      <w:r w:rsidRPr="00416AA9">
        <w:rPr>
          <w:rFonts w:ascii="Comic Sans MS" w:hAnsi="Comic Sans MS"/>
          <w:sz w:val="22"/>
          <w:szCs w:val="22"/>
          <w:lang w:val="en-GB"/>
        </w:rPr>
        <w:t>hospitals. This has formed the basis of the development of STEMI networks with pre</w:t>
      </w:r>
      <w:r>
        <w:rPr>
          <w:rFonts w:ascii="Comic Sans MS" w:hAnsi="Comic Sans MS"/>
          <w:sz w:val="22"/>
          <w:szCs w:val="22"/>
          <w:lang w:val="en-GB"/>
        </w:rPr>
        <w:t>-</w:t>
      </w:r>
      <w:r w:rsidRPr="00416AA9">
        <w:rPr>
          <w:rFonts w:ascii="Comic Sans MS" w:hAnsi="Comic Sans MS"/>
          <w:sz w:val="22"/>
          <w:szCs w:val="22"/>
          <w:lang w:val="en-GB"/>
        </w:rPr>
        <w:t>arranged rapid transfer protocols between commu</w:t>
      </w:r>
      <w:r>
        <w:rPr>
          <w:rFonts w:ascii="Comic Sans MS" w:hAnsi="Comic Sans MS"/>
          <w:sz w:val="22"/>
          <w:szCs w:val="22"/>
          <w:lang w:val="en-GB"/>
        </w:rPr>
        <w:t>nity hospitals and PCI centres. This concept was promoted at the start of the Belgian STEMI registry in 2007. To assess the quality of acute cardiac care, quality indicators have been developed by international task forces and within the college and the working group of acute cardiology</w:t>
      </w:r>
      <w:r w:rsidR="00A04231">
        <w:rPr>
          <w:rFonts w:ascii="Comic Sans MS" w:hAnsi="Comic Sans MS"/>
          <w:b/>
          <w:color w:val="FF0000"/>
          <w:sz w:val="22"/>
          <w:szCs w:val="22"/>
          <w:lang w:val="en-GB"/>
        </w:rPr>
        <w:t>.</w:t>
      </w:r>
      <w:r>
        <w:rPr>
          <w:rFonts w:ascii="Comic Sans MS" w:hAnsi="Comic Sans MS"/>
          <w:sz w:val="22"/>
          <w:szCs w:val="22"/>
          <w:lang w:val="en-GB"/>
        </w:rPr>
        <w:t xml:space="preserve"> </w:t>
      </w:r>
      <w:r w:rsidR="00EC03DE" w:rsidRPr="00EC03DE">
        <w:rPr>
          <w:rFonts w:ascii="Comic Sans MS" w:hAnsi="Comic Sans MS"/>
          <w:sz w:val="22"/>
          <w:szCs w:val="22"/>
          <w:lang w:val="en-GB"/>
        </w:rPr>
        <w:t>The</w:t>
      </w:r>
      <w:r w:rsidRPr="00EC03DE">
        <w:rPr>
          <w:rFonts w:ascii="Comic Sans MS" w:hAnsi="Comic Sans MS"/>
          <w:sz w:val="22"/>
          <w:szCs w:val="22"/>
          <w:lang w:val="en-GB"/>
        </w:rPr>
        <w:t xml:space="preserve"> </w:t>
      </w:r>
      <w:r>
        <w:rPr>
          <w:rFonts w:ascii="Comic Sans MS" w:hAnsi="Comic Sans MS"/>
          <w:sz w:val="22"/>
          <w:szCs w:val="22"/>
          <w:lang w:val="en-GB"/>
        </w:rPr>
        <w:t>most important indicators concerning treatment of STEMI have been defined and implemented in the Belgium STEMI database</w:t>
      </w:r>
      <w:r w:rsidR="001A078C">
        <w:rPr>
          <w:rFonts w:ascii="Comic Sans MS" w:hAnsi="Comic Sans MS"/>
          <w:sz w:val="22"/>
          <w:szCs w:val="22"/>
          <w:lang w:val="en-GB"/>
        </w:rPr>
        <w:t xml:space="preserve"> from 2009</w:t>
      </w:r>
      <w:r>
        <w:rPr>
          <w:rFonts w:ascii="Comic Sans MS" w:hAnsi="Comic Sans MS"/>
          <w:sz w:val="22"/>
          <w:szCs w:val="22"/>
          <w:lang w:val="en-GB"/>
        </w:rPr>
        <w:t xml:space="preserve">. </w:t>
      </w:r>
      <w:r w:rsidR="001A078C">
        <w:rPr>
          <w:rFonts w:ascii="Comic Sans MS" w:hAnsi="Comic Sans MS"/>
          <w:sz w:val="22"/>
          <w:szCs w:val="22"/>
          <w:lang w:val="en-GB"/>
        </w:rPr>
        <w:t xml:space="preserve"> Recent large scaled international studies have shown a clear correlation between adherence to quality and mortality. Whether this correlation is also present in Belgium, is unknown. Accordingly, t</w:t>
      </w:r>
      <w:r>
        <w:rPr>
          <w:rFonts w:ascii="Comic Sans MS" w:hAnsi="Comic Sans MS"/>
          <w:sz w:val="22"/>
          <w:szCs w:val="22"/>
          <w:lang w:val="en-GB"/>
        </w:rPr>
        <w:t xml:space="preserve">he present report describes the </w:t>
      </w:r>
      <w:r w:rsidR="001A078C">
        <w:rPr>
          <w:rFonts w:ascii="Comic Sans MS" w:hAnsi="Comic Sans MS"/>
          <w:sz w:val="22"/>
          <w:szCs w:val="22"/>
          <w:lang w:val="en-GB"/>
        </w:rPr>
        <w:t xml:space="preserve">adherence to </w:t>
      </w:r>
      <w:r>
        <w:rPr>
          <w:rFonts w:ascii="Comic Sans MS" w:hAnsi="Comic Sans MS"/>
          <w:sz w:val="22"/>
          <w:szCs w:val="22"/>
          <w:lang w:val="en-GB"/>
        </w:rPr>
        <w:t xml:space="preserve">quality </w:t>
      </w:r>
      <w:r w:rsidR="001A078C">
        <w:rPr>
          <w:rFonts w:ascii="Comic Sans MS" w:hAnsi="Comic Sans MS"/>
          <w:sz w:val="22"/>
          <w:szCs w:val="22"/>
          <w:lang w:val="en-GB"/>
        </w:rPr>
        <w:t xml:space="preserve">and </w:t>
      </w:r>
      <w:r w:rsidR="00640E47">
        <w:rPr>
          <w:rFonts w:ascii="Comic Sans MS" w:hAnsi="Comic Sans MS"/>
          <w:sz w:val="22"/>
          <w:szCs w:val="22"/>
          <w:lang w:val="en-GB"/>
        </w:rPr>
        <w:t xml:space="preserve">its effect on </w:t>
      </w:r>
      <w:r w:rsidR="001A078C">
        <w:rPr>
          <w:rFonts w:ascii="Comic Sans MS" w:hAnsi="Comic Sans MS"/>
          <w:sz w:val="22"/>
          <w:szCs w:val="22"/>
          <w:lang w:val="en-GB"/>
        </w:rPr>
        <w:t xml:space="preserve">mortality in a large group of STEMI patient </w:t>
      </w:r>
      <w:r>
        <w:rPr>
          <w:rFonts w:ascii="Comic Sans MS" w:hAnsi="Comic Sans MS"/>
          <w:sz w:val="22"/>
          <w:szCs w:val="22"/>
          <w:lang w:val="en-GB"/>
        </w:rPr>
        <w:t>for the period 200</w:t>
      </w:r>
      <w:r w:rsidR="001A078C">
        <w:rPr>
          <w:rFonts w:ascii="Comic Sans MS" w:hAnsi="Comic Sans MS"/>
          <w:sz w:val="22"/>
          <w:szCs w:val="22"/>
          <w:lang w:val="en-GB"/>
        </w:rPr>
        <w:t>9</w:t>
      </w:r>
      <w:r>
        <w:rPr>
          <w:rFonts w:ascii="Comic Sans MS" w:hAnsi="Comic Sans MS"/>
          <w:sz w:val="22"/>
          <w:szCs w:val="22"/>
          <w:lang w:val="en-GB"/>
        </w:rPr>
        <w:t>-201</w:t>
      </w:r>
      <w:r w:rsidR="00640E47">
        <w:rPr>
          <w:rFonts w:ascii="Comic Sans MS" w:hAnsi="Comic Sans MS"/>
          <w:sz w:val="22"/>
          <w:szCs w:val="22"/>
          <w:lang w:val="en-GB"/>
        </w:rPr>
        <w:t>7</w:t>
      </w:r>
      <w:r w:rsidR="001A078C">
        <w:rPr>
          <w:rFonts w:ascii="Comic Sans MS" w:hAnsi="Comic Sans MS"/>
          <w:sz w:val="22"/>
          <w:szCs w:val="22"/>
          <w:lang w:val="en-GB"/>
        </w:rPr>
        <w:t>.</w:t>
      </w:r>
    </w:p>
    <w:p w:rsidR="002D7288" w:rsidRPr="007D5584" w:rsidRDefault="002D7288" w:rsidP="002D7288">
      <w:pPr>
        <w:jc w:val="both"/>
        <w:rPr>
          <w:rFonts w:ascii="Comic Sans MS" w:hAnsi="Comic Sans MS"/>
          <w:sz w:val="22"/>
          <w:szCs w:val="22"/>
          <w:u w:val="single"/>
          <w:lang w:val="en-GB"/>
        </w:rPr>
      </w:pPr>
    </w:p>
    <w:p w:rsidR="002D7288" w:rsidRDefault="002D7288" w:rsidP="002D7288">
      <w:pPr>
        <w:jc w:val="both"/>
        <w:rPr>
          <w:rFonts w:ascii="Comic Sans MS" w:hAnsi="Comic Sans MS"/>
          <w:sz w:val="22"/>
          <w:szCs w:val="22"/>
          <w:u w:val="single"/>
          <w:lang w:val="en-GB"/>
        </w:rPr>
      </w:pPr>
    </w:p>
    <w:p w:rsidR="002D7288" w:rsidRPr="009930C2" w:rsidRDefault="002D7288" w:rsidP="002D7288">
      <w:pPr>
        <w:jc w:val="both"/>
        <w:rPr>
          <w:rFonts w:ascii="Comic Sans MS" w:hAnsi="Comic Sans MS"/>
          <w:b/>
          <w:sz w:val="22"/>
          <w:szCs w:val="22"/>
          <w:u w:val="single"/>
          <w:lang w:val="en-GB"/>
        </w:rPr>
      </w:pPr>
      <w:r w:rsidRPr="009930C2">
        <w:rPr>
          <w:rFonts w:ascii="Comic Sans MS" w:hAnsi="Comic Sans MS"/>
          <w:b/>
          <w:sz w:val="22"/>
          <w:szCs w:val="22"/>
          <w:u w:val="single"/>
          <w:lang w:val="en-GB"/>
        </w:rPr>
        <w:t xml:space="preserve">Methods: </w:t>
      </w:r>
    </w:p>
    <w:p w:rsidR="002D7288" w:rsidRDefault="002D7288" w:rsidP="002D7288">
      <w:pPr>
        <w:jc w:val="both"/>
        <w:rPr>
          <w:rFonts w:ascii="Comic Sans MS" w:hAnsi="Comic Sans MS"/>
          <w:sz w:val="22"/>
          <w:szCs w:val="22"/>
          <w:u w:val="single"/>
          <w:lang w:val="en-GB"/>
        </w:rPr>
      </w:pPr>
    </w:p>
    <w:p w:rsidR="002D7288" w:rsidRPr="00107424" w:rsidRDefault="002D7288" w:rsidP="002D7288">
      <w:pPr>
        <w:jc w:val="both"/>
        <w:rPr>
          <w:rFonts w:ascii="Comic Sans MS" w:hAnsi="Comic Sans MS"/>
          <w:sz w:val="22"/>
          <w:szCs w:val="22"/>
          <w:lang w:val="en-GB"/>
        </w:rPr>
      </w:pPr>
      <w:r>
        <w:rPr>
          <w:rFonts w:ascii="Comic Sans MS" w:hAnsi="Comic Sans MS"/>
          <w:sz w:val="22"/>
          <w:szCs w:val="22"/>
          <w:lang w:val="en-GB"/>
        </w:rPr>
        <w:t>We collected data from</w:t>
      </w:r>
      <w:r w:rsidR="00D3429A">
        <w:rPr>
          <w:rFonts w:ascii="Comic Sans MS" w:hAnsi="Comic Sans MS"/>
          <w:sz w:val="22"/>
          <w:szCs w:val="22"/>
          <w:lang w:val="en-GB"/>
        </w:rPr>
        <w:t xml:space="preserve"> 22702 patients admitted in </w:t>
      </w:r>
      <w:r w:rsidRPr="00416AA9">
        <w:rPr>
          <w:rFonts w:ascii="Comic Sans MS" w:hAnsi="Comic Sans MS"/>
          <w:sz w:val="22"/>
          <w:szCs w:val="22"/>
          <w:lang w:val="en-GB"/>
        </w:rPr>
        <w:t xml:space="preserve"> </w:t>
      </w:r>
      <w:r w:rsidR="00B832E6">
        <w:rPr>
          <w:rFonts w:ascii="Comic Sans MS" w:hAnsi="Comic Sans MS"/>
          <w:sz w:val="22"/>
          <w:szCs w:val="22"/>
          <w:lang w:val="en-GB"/>
        </w:rPr>
        <w:t>55</w:t>
      </w:r>
      <w:r w:rsidRPr="00416AA9">
        <w:rPr>
          <w:rFonts w:ascii="Comic Sans MS" w:hAnsi="Comic Sans MS"/>
          <w:sz w:val="22"/>
          <w:szCs w:val="22"/>
          <w:lang w:val="en-GB"/>
        </w:rPr>
        <w:t xml:space="preserve"> hospitals </w:t>
      </w:r>
      <w:r w:rsidR="00D3429A">
        <w:rPr>
          <w:rFonts w:ascii="Comic Sans MS" w:hAnsi="Comic Sans MS"/>
          <w:sz w:val="22"/>
          <w:szCs w:val="22"/>
          <w:lang w:val="en-GB"/>
        </w:rPr>
        <w:t xml:space="preserve"> (30 with </w:t>
      </w:r>
      <w:r w:rsidR="00982BA1">
        <w:rPr>
          <w:rFonts w:ascii="Comic Sans MS" w:hAnsi="Comic Sans MS"/>
          <w:sz w:val="22"/>
          <w:szCs w:val="22"/>
          <w:lang w:val="en-GB"/>
        </w:rPr>
        <w:t>PC</w:t>
      </w:r>
      <w:r w:rsidR="00D3429A">
        <w:rPr>
          <w:rFonts w:ascii="Comic Sans MS" w:hAnsi="Comic Sans MS"/>
          <w:sz w:val="22"/>
          <w:szCs w:val="22"/>
          <w:lang w:val="en-GB"/>
        </w:rPr>
        <w:t xml:space="preserve">I facilities) </w:t>
      </w:r>
      <w:r>
        <w:rPr>
          <w:rFonts w:ascii="Comic Sans MS" w:hAnsi="Comic Sans MS"/>
          <w:sz w:val="22"/>
          <w:szCs w:val="22"/>
          <w:lang w:val="en-GB"/>
        </w:rPr>
        <w:t>between period of 200</w:t>
      </w:r>
      <w:r w:rsidR="00D3429A">
        <w:rPr>
          <w:rFonts w:ascii="Comic Sans MS" w:hAnsi="Comic Sans MS"/>
          <w:sz w:val="22"/>
          <w:szCs w:val="22"/>
          <w:lang w:val="en-GB"/>
        </w:rPr>
        <w:t>9</w:t>
      </w:r>
      <w:r>
        <w:rPr>
          <w:rFonts w:ascii="Comic Sans MS" w:hAnsi="Comic Sans MS"/>
          <w:sz w:val="22"/>
          <w:szCs w:val="22"/>
          <w:lang w:val="en-GB"/>
        </w:rPr>
        <w:t xml:space="preserve"> and 20</w:t>
      </w:r>
      <w:r w:rsidR="00D3429A">
        <w:rPr>
          <w:rFonts w:ascii="Comic Sans MS" w:hAnsi="Comic Sans MS"/>
          <w:sz w:val="22"/>
          <w:szCs w:val="22"/>
          <w:lang w:val="en-GB"/>
        </w:rPr>
        <w:t>17</w:t>
      </w:r>
      <w:r>
        <w:rPr>
          <w:rFonts w:ascii="Comic Sans MS" w:hAnsi="Comic Sans MS"/>
          <w:sz w:val="22"/>
          <w:szCs w:val="22"/>
          <w:lang w:val="en-GB"/>
        </w:rPr>
        <w:t xml:space="preserve">. Collection of data was carried out by electronic web-based registry that is </w:t>
      </w:r>
      <w:r w:rsidRPr="007D5584">
        <w:rPr>
          <w:rFonts w:ascii="Comic Sans MS" w:hAnsi="Comic Sans MS"/>
          <w:sz w:val="22"/>
          <w:szCs w:val="22"/>
          <w:lang w:val="en-GB"/>
        </w:rPr>
        <w:t xml:space="preserve">governed by an independent software company specialised in electronic data capture solutions (Lambda-plus- website: </w:t>
      </w:r>
      <w:hyperlink r:id="rId11" w:history="1">
        <w:r w:rsidRPr="007D5584">
          <w:rPr>
            <w:rStyle w:val="Hyperlink"/>
            <w:rFonts w:ascii="Comic Sans MS" w:hAnsi="Comic Sans MS"/>
            <w:sz w:val="22"/>
            <w:szCs w:val="22"/>
            <w:lang w:val="en-GB"/>
          </w:rPr>
          <w:t>http://www.lambdaplus.com</w:t>
        </w:r>
      </w:hyperlink>
      <w:r w:rsidRPr="007D5584">
        <w:rPr>
          <w:rFonts w:ascii="Comic Sans MS" w:hAnsi="Comic Sans MS"/>
          <w:sz w:val="22"/>
          <w:szCs w:val="22"/>
          <w:lang w:val="en-GB"/>
        </w:rPr>
        <w:t xml:space="preserve">). </w:t>
      </w:r>
    </w:p>
    <w:p w:rsidR="00D3429A" w:rsidRDefault="002D7288" w:rsidP="002D7288">
      <w:pPr>
        <w:jc w:val="both"/>
        <w:rPr>
          <w:rFonts w:ascii="Comic Sans MS" w:hAnsi="Comic Sans MS"/>
          <w:sz w:val="22"/>
          <w:szCs w:val="22"/>
          <w:lang w:val="en-GB"/>
        </w:rPr>
      </w:pPr>
      <w:r w:rsidRPr="007D5584">
        <w:rPr>
          <w:rFonts w:ascii="Comic Sans MS" w:hAnsi="Comic Sans MS"/>
          <w:sz w:val="22"/>
          <w:szCs w:val="22"/>
          <w:lang w:val="en-GB"/>
        </w:rPr>
        <w:t xml:space="preserve">A number of baseline characteristics for each patient </w:t>
      </w:r>
      <w:r>
        <w:rPr>
          <w:rFonts w:ascii="Comic Sans MS" w:hAnsi="Comic Sans MS"/>
          <w:sz w:val="22"/>
          <w:szCs w:val="22"/>
          <w:lang w:val="en-GB"/>
        </w:rPr>
        <w:t>was included which</w:t>
      </w:r>
      <w:r w:rsidRPr="007D5584">
        <w:rPr>
          <w:rFonts w:ascii="Comic Sans MS" w:hAnsi="Comic Sans MS"/>
          <w:sz w:val="22"/>
          <w:szCs w:val="22"/>
          <w:lang w:val="en-GB"/>
        </w:rPr>
        <w:t xml:space="preserve"> allow</w:t>
      </w:r>
      <w:r>
        <w:rPr>
          <w:rFonts w:ascii="Comic Sans MS" w:hAnsi="Comic Sans MS"/>
          <w:sz w:val="22"/>
          <w:szCs w:val="22"/>
          <w:lang w:val="en-GB"/>
        </w:rPr>
        <w:t>ed</w:t>
      </w:r>
      <w:r w:rsidRPr="007D5584">
        <w:rPr>
          <w:rFonts w:ascii="Comic Sans MS" w:hAnsi="Comic Sans MS"/>
          <w:sz w:val="22"/>
          <w:szCs w:val="22"/>
          <w:lang w:val="en-GB"/>
        </w:rPr>
        <w:t xml:space="preserve"> to stratify the patients according to a pre</w:t>
      </w:r>
      <w:r>
        <w:rPr>
          <w:rFonts w:ascii="Comic Sans MS" w:hAnsi="Comic Sans MS"/>
          <w:sz w:val="22"/>
          <w:szCs w:val="22"/>
          <w:lang w:val="en-GB"/>
        </w:rPr>
        <w:t>vious validate</w:t>
      </w:r>
      <w:r w:rsidR="00D3429A">
        <w:rPr>
          <w:rFonts w:ascii="Comic Sans MS" w:hAnsi="Comic Sans MS"/>
          <w:sz w:val="22"/>
          <w:szCs w:val="22"/>
          <w:lang w:val="en-GB"/>
        </w:rPr>
        <w:t>d TIMI risk score: age, gender</w:t>
      </w:r>
      <w:r>
        <w:rPr>
          <w:rFonts w:ascii="Comic Sans MS" w:hAnsi="Comic Sans MS"/>
          <w:sz w:val="22"/>
          <w:szCs w:val="22"/>
          <w:lang w:val="en-GB"/>
        </w:rPr>
        <w:t xml:space="preserve">, history of coronary artery disease (CAD) or peripheral artery disease (PAD), location of infarction, total ischemic time. </w:t>
      </w:r>
      <w:r w:rsidRPr="005271C8">
        <w:rPr>
          <w:rFonts w:ascii="Comic Sans MS" w:hAnsi="Comic Sans MS"/>
          <w:sz w:val="22"/>
          <w:szCs w:val="22"/>
          <w:lang w:val="en-GB"/>
        </w:rPr>
        <w:t xml:space="preserve">age, hemodynamic status on admission, history of atherovascular disease, history of hypertension or diabetes. </w:t>
      </w:r>
      <w:r w:rsidR="00D3429A">
        <w:rPr>
          <w:rFonts w:ascii="Comic Sans MS" w:hAnsi="Comic Sans MS"/>
          <w:sz w:val="22"/>
          <w:szCs w:val="22"/>
          <w:lang w:val="en-GB"/>
        </w:rPr>
        <w:t>Collapse with cardiopulmonary resuscitation (CPR) was also registered as this factor is not incorporated into the TIMI risk score.</w:t>
      </w:r>
    </w:p>
    <w:p w:rsidR="00D3429A" w:rsidRDefault="00D3429A" w:rsidP="002D7288">
      <w:pPr>
        <w:jc w:val="both"/>
        <w:rPr>
          <w:rFonts w:ascii="Comic Sans MS" w:hAnsi="Comic Sans MS"/>
          <w:sz w:val="22"/>
          <w:szCs w:val="22"/>
          <w:lang w:val="en-GB"/>
        </w:rPr>
      </w:pPr>
    </w:p>
    <w:p w:rsidR="00D3429A" w:rsidRDefault="00D3429A" w:rsidP="00D3429A">
      <w:pPr>
        <w:jc w:val="both"/>
        <w:rPr>
          <w:rFonts w:ascii="Comic Sans MS" w:hAnsi="Comic Sans MS"/>
          <w:b/>
          <w:sz w:val="22"/>
          <w:szCs w:val="22"/>
          <w:u w:val="single"/>
          <w:lang w:val="en-GB"/>
        </w:rPr>
      </w:pPr>
      <w:r>
        <w:rPr>
          <w:rFonts w:ascii="Comic Sans MS" w:hAnsi="Comic Sans MS"/>
          <w:b/>
          <w:sz w:val="22"/>
          <w:szCs w:val="22"/>
          <w:u w:val="single"/>
          <w:lang w:val="en-GB"/>
        </w:rPr>
        <w:t>Quality indicator</w:t>
      </w:r>
      <w:r w:rsidRPr="009930C2">
        <w:rPr>
          <w:rFonts w:ascii="Comic Sans MS" w:hAnsi="Comic Sans MS"/>
          <w:b/>
          <w:sz w:val="22"/>
          <w:szCs w:val="22"/>
          <w:u w:val="single"/>
          <w:lang w:val="en-GB"/>
        </w:rPr>
        <w:t>:</w:t>
      </w:r>
    </w:p>
    <w:p w:rsidR="00D3429A" w:rsidRDefault="00D3429A" w:rsidP="002D7288">
      <w:pPr>
        <w:jc w:val="both"/>
        <w:rPr>
          <w:rFonts w:ascii="Comic Sans MS" w:hAnsi="Comic Sans MS"/>
          <w:sz w:val="22"/>
          <w:szCs w:val="22"/>
          <w:lang w:val="en-GB"/>
        </w:rPr>
      </w:pPr>
    </w:p>
    <w:p w:rsidR="00D3429A" w:rsidRPr="00D3429A" w:rsidRDefault="00D3429A" w:rsidP="00D3429A">
      <w:pPr>
        <w:jc w:val="both"/>
        <w:rPr>
          <w:rFonts w:ascii="Comic Sans MS" w:hAnsi="Comic Sans MS"/>
          <w:sz w:val="22"/>
          <w:szCs w:val="22"/>
          <w:lang w:val="en-GB"/>
        </w:rPr>
      </w:pPr>
      <w:r w:rsidRPr="00D3429A">
        <w:rPr>
          <w:rFonts w:ascii="Comic Sans MS" w:hAnsi="Comic Sans MS"/>
          <w:sz w:val="22"/>
          <w:szCs w:val="22"/>
          <w:lang w:val="en-GB"/>
        </w:rPr>
        <w:t>Following quality parameters were registered and are based upon the European QI’s for STEMI:</w:t>
      </w:r>
    </w:p>
    <w:p w:rsidR="00D3429A" w:rsidRPr="00D3429A" w:rsidRDefault="00D3429A" w:rsidP="00D3429A">
      <w:pPr>
        <w:jc w:val="both"/>
        <w:rPr>
          <w:rFonts w:ascii="Comic Sans MS" w:hAnsi="Comic Sans MS"/>
          <w:sz w:val="22"/>
          <w:szCs w:val="22"/>
          <w:lang w:val="en-GB"/>
        </w:rPr>
      </w:pPr>
      <w:r w:rsidRPr="00D3429A">
        <w:rPr>
          <w:rFonts w:ascii="Comic Sans MS" w:hAnsi="Comic Sans MS"/>
          <w:sz w:val="22"/>
          <w:szCs w:val="22"/>
          <w:lang w:val="en-GB"/>
        </w:rPr>
        <w:t xml:space="preserve">a)Types of reperfusion strategy:  thrombolysis (TL), percutaneous coronary intervention (PCI) or no reperfusion. </w:t>
      </w:r>
    </w:p>
    <w:p w:rsidR="00D3429A" w:rsidRDefault="00D3429A" w:rsidP="00D3429A">
      <w:pPr>
        <w:jc w:val="both"/>
        <w:rPr>
          <w:rFonts w:ascii="Comic Sans MS" w:hAnsi="Comic Sans MS"/>
          <w:sz w:val="22"/>
          <w:szCs w:val="22"/>
          <w:lang w:val="en-GB"/>
        </w:rPr>
      </w:pPr>
      <w:r w:rsidRPr="00D3429A">
        <w:rPr>
          <w:rFonts w:ascii="Comic Sans MS" w:hAnsi="Comic Sans MS"/>
          <w:sz w:val="22"/>
          <w:szCs w:val="22"/>
          <w:lang w:val="en-GB"/>
        </w:rPr>
        <w:t xml:space="preserve">b)Time delays between diagnosis and treatment, subdivided into diagnosis-to-balloon time (time between first ECG with STEMI diagnosis and the balloon inflation) and the door-to-balloon (time between arrival in the PCI centre and the balloon inflation). </w:t>
      </w:r>
    </w:p>
    <w:p w:rsidR="00D3429A" w:rsidRDefault="00D3429A" w:rsidP="002D7288">
      <w:pPr>
        <w:jc w:val="both"/>
        <w:rPr>
          <w:rFonts w:ascii="Comic Sans MS" w:hAnsi="Comic Sans MS"/>
          <w:color w:val="000000" w:themeColor="text1"/>
          <w:sz w:val="22"/>
          <w:szCs w:val="22"/>
          <w:lang w:val="en-GB"/>
        </w:rPr>
      </w:pPr>
      <w:r>
        <w:rPr>
          <w:rFonts w:ascii="Comic Sans MS" w:hAnsi="Comic Sans MS"/>
          <w:color w:val="000000" w:themeColor="text1"/>
          <w:sz w:val="22"/>
          <w:szCs w:val="22"/>
          <w:lang w:val="en-GB"/>
        </w:rPr>
        <w:lastRenderedPageBreak/>
        <w:t>A global quality score was assigned to each patient according to</w:t>
      </w:r>
      <w:r w:rsidR="00982BA1">
        <w:rPr>
          <w:rFonts w:ascii="Comic Sans MS" w:hAnsi="Comic Sans MS"/>
          <w:color w:val="000000" w:themeColor="text1"/>
          <w:sz w:val="22"/>
          <w:szCs w:val="22"/>
          <w:lang w:val="en-GB"/>
        </w:rPr>
        <w:t xml:space="preserve"> the</w:t>
      </w:r>
      <w:r>
        <w:rPr>
          <w:rFonts w:ascii="Comic Sans MS" w:hAnsi="Comic Sans MS"/>
          <w:color w:val="000000" w:themeColor="text1"/>
          <w:sz w:val="22"/>
          <w:szCs w:val="22"/>
          <w:lang w:val="en-GB"/>
        </w:rPr>
        <w:t xml:space="preserve"> following rules</w:t>
      </w:r>
      <w:r w:rsidR="008D05F5">
        <w:rPr>
          <w:rFonts w:ascii="Comic Sans MS" w:hAnsi="Comic Sans MS"/>
          <w:color w:val="000000" w:themeColor="text1"/>
          <w:sz w:val="22"/>
          <w:szCs w:val="22"/>
          <w:lang w:val="en-GB"/>
        </w:rPr>
        <w:t xml:space="preserve"> (the higher the score the more adherent to quality recommendations)</w:t>
      </w:r>
    </w:p>
    <w:p w:rsidR="00D3429A" w:rsidRDefault="00D3429A" w:rsidP="002D7288">
      <w:pPr>
        <w:jc w:val="both"/>
        <w:rPr>
          <w:rFonts w:ascii="Comic Sans MS" w:hAnsi="Comic Sans MS"/>
          <w:color w:val="000000" w:themeColor="text1"/>
          <w:sz w:val="22"/>
          <w:szCs w:val="22"/>
          <w:lang w:val="en-GB"/>
        </w:rPr>
      </w:pPr>
    </w:p>
    <w:tbl>
      <w:tblPr>
        <w:tblStyle w:val="GridTable4Accent1"/>
        <w:tblW w:w="9878" w:type="dxa"/>
        <w:tblLook w:val="04A0" w:firstRow="1" w:lastRow="0" w:firstColumn="1" w:lastColumn="0" w:noHBand="0" w:noVBand="1"/>
      </w:tblPr>
      <w:tblGrid>
        <w:gridCol w:w="3634"/>
        <w:gridCol w:w="6244"/>
      </w:tblGrid>
      <w:tr w:rsidR="00D3429A" w:rsidTr="008A12E1">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634" w:type="dxa"/>
          </w:tcPr>
          <w:p w:rsidR="00D3429A" w:rsidRPr="007D10E6" w:rsidRDefault="00D3429A" w:rsidP="00D3429A">
            <w:pPr>
              <w:jc w:val="center"/>
              <w:rPr>
                <w:rFonts w:ascii="Arial" w:hAnsi="Arial" w:cs="Arial"/>
                <w:sz w:val="20"/>
                <w:szCs w:val="20"/>
              </w:rPr>
            </w:pPr>
            <w:r w:rsidRPr="007D10E6">
              <w:rPr>
                <w:rFonts w:ascii="Arial" w:hAnsi="Arial" w:cs="Arial"/>
                <w:sz w:val="20"/>
                <w:szCs w:val="20"/>
              </w:rPr>
              <w:t xml:space="preserve">Domein </w:t>
            </w:r>
          </w:p>
        </w:tc>
        <w:tc>
          <w:tcPr>
            <w:tcW w:w="6244" w:type="dxa"/>
          </w:tcPr>
          <w:p w:rsidR="00D3429A" w:rsidRPr="007D10E6" w:rsidRDefault="00D3429A" w:rsidP="00D3429A">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D10E6">
              <w:rPr>
                <w:rFonts w:ascii="Arial" w:hAnsi="Arial" w:cs="Arial"/>
                <w:sz w:val="20"/>
                <w:szCs w:val="20"/>
              </w:rPr>
              <w:t xml:space="preserve">Scoring </w:t>
            </w:r>
          </w:p>
        </w:tc>
      </w:tr>
      <w:tr w:rsidR="00D3429A" w:rsidTr="008A12E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634" w:type="dxa"/>
            <w:vMerge w:val="restart"/>
          </w:tcPr>
          <w:p w:rsidR="00D3429A" w:rsidRPr="007D10E6" w:rsidRDefault="00EC03DE" w:rsidP="00D3429A">
            <w:pPr>
              <w:rPr>
                <w:rFonts w:ascii="Arial" w:hAnsi="Arial" w:cs="Arial"/>
                <w:sz w:val="20"/>
                <w:szCs w:val="20"/>
              </w:rPr>
            </w:pPr>
            <w:r>
              <w:rPr>
                <w:rFonts w:ascii="Arial" w:hAnsi="Arial" w:cs="Arial"/>
                <w:sz w:val="20"/>
                <w:szCs w:val="20"/>
              </w:rPr>
              <w:t>Reperfusion</w:t>
            </w:r>
            <w:r w:rsidR="00D3429A" w:rsidRPr="007D10E6">
              <w:rPr>
                <w:rFonts w:ascii="Arial" w:hAnsi="Arial" w:cs="Arial"/>
                <w:sz w:val="20"/>
                <w:szCs w:val="20"/>
              </w:rPr>
              <w:t xml:space="preserve"> </w:t>
            </w:r>
          </w:p>
        </w:tc>
        <w:tc>
          <w:tcPr>
            <w:tcW w:w="6244" w:type="dxa"/>
          </w:tcPr>
          <w:p w:rsidR="00D3429A" w:rsidRPr="007D10E6" w:rsidRDefault="00D3429A" w:rsidP="00EC03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10E6">
              <w:rPr>
                <w:rFonts w:ascii="Arial" w:hAnsi="Arial" w:cs="Arial"/>
                <w:sz w:val="20"/>
                <w:szCs w:val="20"/>
              </w:rPr>
              <w:t xml:space="preserve">0 = </w:t>
            </w:r>
            <w:r w:rsidR="00EC03DE">
              <w:rPr>
                <w:rFonts w:ascii="Arial" w:hAnsi="Arial" w:cs="Arial"/>
                <w:sz w:val="20"/>
                <w:szCs w:val="20"/>
              </w:rPr>
              <w:t xml:space="preserve">No </w:t>
            </w:r>
            <w:r w:rsidRPr="007D10E6">
              <w:rPr>
                <w:rFonts w:ascii="Arial" w:hAnsi="Arial" w:cs="Arial"/>
                <w:sz w:val="20"/>
                <w:szCs w:val="20"/>
              </w:rPr>
              <w:t xml:space="preserve"> reperfusi</w:t>
            </w:r>
            <w:r w:rsidR="00EC03DE">
              <w:rPr>
                <w:rFonts w:ascii="Arial" w:hAnsi="Arial" w:cs="Arial"/>
                <w:sz w:val="20"/>
                <w:szCs w:val="20"/>
              </w:rPr>
              <w:t>on therapy</w:t>
            </w:r>
          </w:p>
        </w:tc>
      </w:tr>
      <w:tr w:rsidR="00D3429A" w:rsidTr="008A12E1">
        <w:trPr>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D3429A" w:rsidP="00D3429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10E6">
              <w:rPr>
                <w:rFonts w:ascii="Arial" w:hAnsi="Arial" w:cs="Arial"/>
                <w:sz w:val="20"/>
                <w:szCs w:val="20"/>
              </w:rPr>
              <w:t xml:space="preserve">1 = Trombolyse </w:t>
            </w:r>
          </w:p>
        </w:tc>
      </w:tr>
      <w:tr w:rsidR="00D3429A" w:rsidTr="008A12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D3429A" w:rsidP="00D3429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10E6">
              <w:rPr>
                <w:rFonts w:ascii="Arial" w:hAnsi="Arial" w:cs="Arial"/>
                <w:sz w:val="20"/>
                <w:szCs w:val="20"/>
              </w:rPr>
              <w:t xml:space="preserve">2 = PCI </w:t>
            </w:r>
          </w:p>
        </w:tc>
      </w:tr>
      <w:tr w:rsidR="00D3429A" w:rsidTr="008A12E1">
        <w:trPr>
          <w:trHeight w:val="251"/>
        </w:trPr>
        <w:tc>
          <w:tcPr>
            <w:cnfStyle w:val="001000000000" w:firstRow="0" w:lastRow="0" w:firstColumn="1" w:lastColumn="0" w:oddVBand="0" w:evenVBand="0" w:oddHBand="0" w:evenHBand="0" w:firstRowFirstColumn="0" w:firstRowLastColumn="0" w:lastRowFirstColumn="0" w:lastRowLastColumn="0"/>
            <w:tcW w:w="3634" w:type="dxa"/>
            <w:vMerge w:val="restart"/>
          </w:tcPr>
          <w:p w:rsidR="00D3429A" w:rsidRPr="007D10E6" w:rsidRDefault="00D3429A" w:rsidP="00D3429A">
            <w:pPr>
              <w:rPr>
                <w:rFonts w:ascii="Arial" w:hAnsi="Arial" w:cs="Arial"/>
                <w:sz w:val="20"/>
                <w:szCs w:val="20"/>
              </w:rPr>
            </w:pPr>
            <w:r w:rsidRPr="007D10E6">
              <w:rPr>
                <w:rFonts w:ascii="Arial" w:hAnsi="Arial" w:cs="Arial"/>
                <w:sz w:val="20"/>
                <w:szCs w:val="20"/>
              </w:rPr>
              <w:t xml:space="preserve">Door-to-balloon </w:t>
            </w:r>
          </w:p>
        </w:tc>
        <w:tc>
          <w:tcPr>
            <w:tcW w:w="6244" w:type="dxa"/>
          </w:tcPr>
          <w:p w:rsidR="00D3429A" w:rsidRPr="007D10E6" w:rsidRDefault="00D3429A" w:rsidP="00EC03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10E6">
              <w:rPr>
                <w:rFonts w:ascii="Arial" w:hAnsi="Arial" w:cs="Arial"/>
                <w:sz w:val="20"/>
                <w:szCs w:val="20"/>
              </w:rPr>
              <w:t>0 = &gt; 90 minut</w:t>
            </w:r>
            <w:r w:rsidR="00EC03DE">
              <w:rPr>
                <w:rFonts w:ascii="Arial" w:hAnsi="Arial" w:cs="Arial"/>
                <w:sz w:val="20"/>
                <w:szCs w:val="20"/>
              </w:rPr>
              <w:t>es</w:t>
            </w:r>
            <w:r w:rsidRPr="007D10E6">
              <w:rPr>
                <w:rFonts w:ascii="Arial" w:hAnsi="Arial" w:cs="Arial"/>
                <w:sz w:val="20"/>
                <w:szCs w:val="20"/>
              </w:rPr>
              <w:t xml:space="preserve"> </w:t>
            </w:r>
          </w:p>
        </w:tc>
      </w:tr>
      <w:tr w:rsidR="00D3429A" w:rsidTr="008A12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D3429A" w:rsidP="00EC03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10E6">
              <w:rPr>
                <w:rFonts w:ascii="Arial" w:hAnsi="Arial" w:cs="Arial"/>
                <w:sz w:val="20"/>
                <w:szCs w:val="20"/>
              </w:rPr>
              <w:t>1 = 60-90 minut</w:t>
            </w:r>
            <w:r w:rsidR="00EC03DE">
              <w:rPr>
                <w:rFonts w:ascii="Arial" w:hAnsi="Arial" w:cs="Arial"/>
                <w:sz w:val="20"/>
                <w:szCs w:val="20"/>
              </w:rPr>
              <w:t>es</w:t>
            </w:r>
            <w:r w:rsidRPr="007D10E6">
              <w:rPr>
                <w:rFonts w:ascii="Arial" w:hAnsi="Arial" w:cs="Arial"/>
                <w:sz w:val="20"/>
                <w:szCs w:val="20"/>
              </w:rPr>
              <w:t xml:space="preserve"> </w:t>
            </w:r>
          </w:p>
        </w:tc>
      </w:tr>
      <w:tr w:rsidR="00D3429A" w:rsidTr="008A12E1">
        <w:trPr>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D3429A" w:rsidP="00EC03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10E6">
              <w:rPr>
                <w:rFonts w:ascii="Arial" w:hAnsi="Arial" w:cs="Arial"/>
                <w:sz w:val="20"/>
                <w:szCs w:val="20"/>
              </w:rPr>
              <w:t>2 = &lt; 60 minut</w:t>
            </w:r>
            <w:r w:rsidR="00EC03DE">
              <w:rPr>
                <w:rFonts w:ascii="Arial" w:hAnsi="Arial" w:cs="Arial"/>
                <w:sz w:val="20"/>
                <w:szCs w:val="20"/>
              </w:rPr>
              <w:t>es</w:t>
            </w:r>
          </w:p>
        </w:tc>
      </w:tr>
      <w:tr w:rsidR="00D3429A" w:rsidTr="008A12E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634" w:type="dxa"/>
            <w:vMerge w:val="restart"/>
          </w:tcPr>
          <w:p w:rsidR="00D3429A" w:rsidRPr="007D10E6" w:rsidRDefault="00D3429A" w:rsidP="00EC03DE">
            <w:pPr>
              <w:rPr>
                <w:rFonts w:ascii="Arial" w:hAnsi="Arial" w:cs="Arial"/>
                <w:sz w:val="20"/>
                <w:szCs w:val="20"/>
              </w:rPr>
            </w:pPr>
            <w:r w:rsidRPr="007D10E6">
              <w:rPr>
                <w:rFonts w:ascii="Arial" w:hAnsi="Arial" w:cs="Arial"/>
                <w:sz w:val="20"/>
                <w:szCs w:val="20"/>
              </w:rPr>
              <w:t>Diagnos</w:t>
            </w:r>
            <w:r w:rsidR="00EC03DE">
              <w:rPr>
                <w:rFonts w:ascii="Arial" w:hAnsi="Arial" w:cs="Arial"/>
                <w:sz w:val="20"/>
                <w:szCs w:val="20"/>
              </w:rPr>
              <w:t>is</w:t>
            </w:r>
            <w:r w:rsidRPr="007D10E6">
              <w:rPr>
                <w:rFonts w:ascii="Arial" w:hAnsi="Arial" w:cs="Arial"/>
                <w:sz w:val="20"/>
                <w:szCs w:val="20"/>
              </w:rPr>
              <w:t>-to-balloon/-needle</w:t>
            </w:r>
          </w:p>
        </w:tc>
        <w:tc>
          <w:tcPr>
            <w:tcW w:w="6244" w:type="dxa"/>
          </w:tcPr>
          <w:p w:rsidR="00D3429A" w:rsidRPr="007D10E6" w:rsidRDefault="00D3429A" w:rsidP="00EC03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10E6">
              <w:rPr>
                <w:rFonts w:ascii="Arial" w:hAnsi="Arial" w:cs="Arial"/>
                <w:sz w:val="20"/>
                <w:szCs w:val="20"/>
              </w:rPr>
              <w:t>0 = &gt; 120 minut</w:t>
            </w:r>
            <w:r w:rsidR="00EC03DE">
              <w:rPr>
                <w:rFonts w:ascii="Arial" w:hAnsi="Arial" w:cs="Arial"/>
                <w:sz w:val="20"/>
                <w:szCs w:val="20"/>
              </w:rPr>
              <w:t>es</w:t>
            </w:r>
          </w:p>
        </w:tc>
      </w:tr>
      <w:tr w:rsidR="00D3429A" w:rsidTr="008A12E1">
        <w:trPr>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D3429A" w:rsidP="00EC03D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10E6">
              <w:rPr>
                <w:rFonts w:ascii="Arial" w:hAnsi="Arial" w:cs="Arial"/>
                <w:sz w:val="20"/>
                <w:szCs w:val="20"/>
              </w:rPr>
              <w:t>1 = 90-120 minut</w:t>
            </w:r>
            <w:r w:rsidR="00EC03DE">
              <w:rPr>
                <w:rFonts w:ascii="Arial" w:hAnsi="Arial" w:cs="Arial"/>
                <w:sz w:val="20"/>
                <w:szCs w:val="20"/>
              </w:rPr>
              <w:t>es</w:t>
            </w:r>
          </w:p>
        </w:tc>
      </w:tr>
      <w:tr w:rsidR="00D3429A" w:rsidTr="008A12E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34" w:type="dxa"/>
            <w:vMerge/>
          </w:tcPr>
          <w:p w:rsidR="00D3429A" w:rsidRPr="007D10E6" w:rsidRDefault="00D3429A" w:rsidP="00D3429A">
            <w:pPr>
              <w:rPr>
                <w:rFonts w:ascii="Arial" w:hAnsi="Arial" w:cs="Arial"/>
                <w:sz w:val="20"/>
                <w:szCs w:val="20"/>
              </w:rPr>
            </w:pPr>
          </w:p>
        </w:tc>
        <w:tc>
          <w:tcPr>
            <w:tcW w:w="6244" w:type="dxa"/>
          </w:tcPr>
          <w:p w:rsidR="00D3429A" w:rsidRPr="007D10E6" w:rsidRDefault="00EC03DE" w:rsidP="00EC03D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 = &lt; 90 minutes</w:t>
            </w:r>
            <w:r w:rsidR="00D3429A" w:rsidRPr="007D10E6">
              <w:rPr>
                <w:rFonts w:ascii="Arial" w:hAnsi="Arial" w:cs="Arial"/>
                <w:sz w:val="20"/>
                <w:szCs w:val="20"/>
              </w:rPr>
              <w:t xml:space="preserve"> </w:t>
            </w:r>
          </w:p>
        </w:tc>
      </w:tr>
      <w:tr w:rsidR="00D3429A" w:rsidTr="008A12E1">
        <w:trPr>
          <w:trHeight w:val="251"/>
        </w:trPr>
        <w:tc>
          <w:tcPr>
            <w:cnfStyle w:val="001000000000" w:firstRow="0" w:lastRow="0" w:firstColumn="1" w:lastColumn="0" w:oddVBand="0" w:evenVBand="0" w:oddHBand="0" w:evenHBand="0" w:firstRowFirstColumn="0" w:firstRowLastColumn="0" w:lastRowFirstColumn="0" w:lastRowLastColumn="0"/>
            <w:tcW w:w="3634" w:type="dxa"/>
          </w:tcPr>
          <w:p w:rsidR="00D3429A" w:rsidRPr="00D3429A" w:rsidRDefault="00D3429A" w:rsidP="00D3429A">
            <w:pPr>
              <w:rPr>
                <w:rFonts w:ascii="Arial" w:hAnsi="Arial" w:cs="Arial"/>
                <w:b w:val="0"/>
                <w:sz w:val="20"/>
                <w:szCs w:val="20"/>
              </w:rPr>
            </w:pPr>
            <w:r w:rsidRPr="00D3429A">
              <w:rPr>
                <w:rFonts w:ascii="Arial" w:hAnsi="Arial" w:cs="Arial"/>
                <w:b w:val="0"/>
                <w:sz w:val="20"/>
                <w:szCs w:val="20"/>
              </w:rPr>
              <w:t xml:space="preserve"> TOTAAL SCORE </w:t>
            </w:r>
          </w:p>
        </w:tc>
        <w:tc>
          <w:tcPr>
            <w:tcW w:w="6244" w:type="dxa"/>
          </w:tcPr>
          <w:p w:rsidR="00D3429A" w:rsidRPr="00D3429A" w:rsidRDefault="00D3429A" w:rsidP="00D3429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D3429A">
              <w:rPr>
                <w:rFonts w:ascii="Arial" w:hAnsi="Arial" w:cs="Arial"/>
                <w:b/>
                <w:sz w:val="20"/>
                <w:szCs w:val="20"/>
              </w:rPr>
              <w:t xml:space="preserve">0-6 </w:t>
            </w:r>
          </w:p>
        </w:tc>
      </w:tr>
    </w:tbl>
    <w:p w:rsidR="00D3429A" w:rsidRDefault="00D3429A" w:rsidP="002D7288">
      <w:pPr>
        <w:jc w:val="both"/>
        <w:rPr>
          <w:rFonts w:ascii="Comic Sans MS" w:hAnsi="Comic Sans MS"/>
          <w:color w:val="000000" w:themeColor="text1"/>
          <w:sz w:val="22"/>
          <w:szCs w:val="22"/>
          <w:lang w:val="en-GB"/>
        </w:rPr>
      </w:pPr>
    </w:p>
    <w:p w:rsidR="002D7288" w:rsidRDefault="002D7288" w:rsidP="002D7288">
      <w:pPr>
        <w:jc w:val="both"/>
        <w:rPr>
          <w:rFonts w:ascii="Comic Sans MS" w:hAnsi="Comic Sans MS"/>
          <w:sz w:val="22"/>
          <w:szCs w:val="22"/>
          <w:lang w:val="en-GB"/>
        </w:rPr>
      </w:pPr>
    </w:p>
    <w:p w:rsidR="002D7288" w:rsidRDefault="002D7288" w:rsidP="002D7288">
      <w:pPr>
        <w:jc w:val="both"/>
        <w:rPr>
          <w:rFonts w:ascii="Comic Sans MS" w:hAnsi="Comic Sans MS"/>
          <w:sz w:val="22"/>
          <w:szCs w:val="22"/>
          <w:lang w:val="en-GB"/>
        </w:rPr>
      </w:pPr>
      <w:r w:rsidRPr="00416AA9">
        <w:rPr>
          <w:rFonts w:ascii="Comic Sans MS" w:hAnsi="Comic Sans MS"/>
          <w:sz w:val="22"/>
          <w:szCs w:val="22"/>
          <w:lang w:val="en-GB"/>
        </w:rPr>
        <w:t>The primary endpoint was in-hospital death from all causes as late as 30 days after admission. Vital status was assessed in the final hospital before home discharge.</w:t>
      </w:r>
    </w:p>
    <w:p w:rsidR="00493241" w:rsidRDefault="00493241" w:rsidP="002D7288">
      <w:pPr>
        <w:jc w:val="both"/>
        <w:rPr>
          <w:rFonts w:ascii="Comic Sans MS" w:hAnsi="Comic Sans MS"/>
          <w:sz w:val="22"/>
          <w:szCs w:val="22"/>
          <w:lang w:val="en-GB"/>
        </w:rPr>
      </w:pPr>
    </w:p>
    <w:p w:rsidR="002D7288" w:rsidRPr="007D5584" w:rsidRDefault="002D7288" w:rsidP="002D7288">
      <w:pPr>
        <w:jc w:val="both"/>
        <w:rPr>
          <w:rFonts w:ascii="Comic Sans MS" w:hAnsi="Comic Sans MS"/>
          <w:sz w:val="22"/>
          <w:szCs w:val="22"/>
          <w:u w:val="single"/>
          <w:lang w:val="en-GB"/>
        </w:rPr>
      </w:pPr>
    </w:p>
    <w:p w:rsidR="002D7288" w:rsidRDefault="002D7288" w:rsidP="002D7288">
      <w:pPr>
        <w:jc w:val="both"/>
        <w:rPr>
          <w:rFonts w:ascii="Comic Sans MS" w:hAnsi="Comic Sans MS"/>
          <w:sz w:val="22"/>
          <w:szCs w:val="22"/>
          <w:lang w:val="en-GB"/>
        </w:rPr>
      </w:pPr>
    </w:p>
    <w:p w:rsidR="002D7288" w:rsidRDefault="002D7288" w:rsidP="002D7288">
      <w:pPr>
        <w:jc w:val="both"/>
        <w:rPr>
          <w:rFonts w:ascii="Comic Sans MS" w:hAnsi="Comic Sans MS"/>
          <w:sz w:val="22"/>
          <w:szCs w:val="22"/>
          <w:lang w:val="en-GB"/>
        </w:rPr>
      </w:pPr>
      <w:r w:rsidRPr="006C60A4">
        <w:rPr>
          <w:rFonts w:ascii="Comic Sans MS" w:hAnsi="Comic Sans MS"/>
          <w:b/>
          <w:sz w:val="22"/>
          <w:szCs w:val="22"/>
          <w:lang w:val="en-GB"/>
        </w:rPr>
        <w:t>Statistical Analysis</w:t>
      </w:r>
    </w:p>
    <w:p w:rsidR="002D7288" w:rsidRDefault="002D7288" w:rsidP="002D7288">
      <w:pPr>
        <w:jc w:val="both"/>
        <w:rPr>
          <w:rFonts w:ascii="Comic Sans MS" w:hAnsi="Comic Sans MS"/>
          <w:sz w:val="22"/>
          <w:szCs w:val="22"/>
          <w:lang w:val="en-GB"/>
        </w:rPr>
      </w:pPr>
    </w:p>
    <w:p w:rsidR="002D7288" w:rsidRPr="00D16CD4" w:rsidRDefault="002D7288" w:rsidP="002D7288">
      <w:pPr>
        <w:jc w:val="both"/>
        <w:rPr>
          <w:rFonts w:ascii="Comic Sans MS" w:hAnsi="Comic Sans MS"/>
          <w:bCs/>
          <w:sz w:val="22"/>
          <w:szCs w:val="22"/>
          <w:lang w:val="en-GB"/>
        </w:rPr>
      </w:pPr>
      <w:r w:rsidRPr="00D16CD4">
        <w:rPr>
          <w:rFonts w:ascii="Comic Sans MS" w:hAnsi="Comic Sans MS"/>
          <w:sz w:val="22"/>
          <w:szCs w:val="22"/>
          <w:lang w:val="en-GB"/>
        </w:rPr>
        <w:t xml:space="preserve">Continuous variables are presented as the mean values with corresponding standard deviation (SD). Comparisons between groups were made with an unpaired t-test. The differences between proportions were assessed by chi-squared analysis. Independent determinants of in-hospital death were determined by means of multiple logistic regression analysis and reported as odds ratios (ORs) and 95% confidence intervals (CIs). Following factors were included in this analysis: </w:t>
      </w:r>
      <w:r w:rsidR="005F07E9">
        <w:rPr>
          <w:rFonts w:ascii="Comic Sans MS" w:hAnsi="Comic Sans MS"/>
          <w:sz w:val="22"/>
          <w:szCs w:val="22"/>
          <w:lang w:val="en-GB"/>
        </w:rPr>
        <w:t xml:space="preserve">TIMI risk score and cardiac arrest as patient related factors and reperfusion therapy/time lines as quality related factors. </w:t>
      </w:r>
      <w:r w:rsidRPr="00D16CD4">
        <w:rPr>
          <w:rFonts w:ascii="Comic Sans MS" w:hAnsi="Comic Sans MS"/>
          <w:sz w:val="22"/>
          <w:szCs w:val="22"/>
          <w:lang w:val="en-GB"/>
        </w:rPr>
        <w:t xml:space="preserve">For all analyses, a value of p&lt;0.05 was considered statistically significant. </w:t>
      </w:r>
    </w:p>
    <w:p w:rsidR="002D7288" w:rsidRPr="006C60A4" w:rsidRDefault="002D7288" w:rsidP="002D7288">
      <w:pPr>
        <w:jc w:val="both"/>
        <w:rPr>
          <w:rFonts w:ascii="Comic Sans MS" w:hAnsi="Comic Sans MS"/>
          <w:sz w:val="22"/>
          <w:szCs w:val="22"/>
          <w:lang w:val="en-US"/>
        </w:rPr>
      </w:pPr>
      <w:r w:rsidRPr="006C60A4">
        <w:rPr>
          <w:rFonts w:ascii="Comic Sans MS" w:hAnsi="Comic Sans MS"/>
          <w:sz w:val="22"/>
          <w:szCs w:val="22"/>
          <w:lang w:val="en-US"/>
        </w:rPr>
        <w:t xml:space="preserve">. </w:t>
      </w:r>
    </w:p>
    <w:p w:rsidR="002D7288" w:rsidRPr="006C60A4" w:rsidRDefault="002D7288" w:rsidP="002D7288">
      <w:pPr>
        <w:jc w:val="both"/>
        <w:rPr>
          <w:rFonts w:ascii="Comic Sans MS" w:hAnsi="Comic Sans MS"/>
          <w:sz w:val="22"/>
          <w:szCs w:val="22"/>
          <w:lang w:val="en-US"/>
        </w:rPr>
      </w:pPr>
    </w:p>
    <w:p w:rsidR="002D7288" w:rsidRDefault="002D7288" w:rsidP="002D7288">
      <w:pPr>
        <w:jc w:val="both"/>
        <w:rPr>
          <w:rFonts w:ascii="Comic Sans MS" w:hAnsi="Comic Sans MS"/>
          <w:b/>
          <w:sz w:val="22"/>
          <w:szCs w:val="22"/>
          <w:u w:val="single"/>
          <w:lang w:val="en-GB"/>
        </w:rPr>
      </w:pPr>
      <w:r>
        <w:rPr>
          <w:rFonts w:ascii="Comic Sans MS" w:hAnsi="Comic Sans MS"/>
          <w:sz w:val="22"/>
          <w:szCs w:val="22"/>
          <w:lang w:val="en-GB"/>
        </w:rPr>
        <w:br w:type="page"/>
      </w:r>
      <w:r w:rsidRPr="000166CD">
        <w:rPr>
          <w:rFonts w:ascii="Comic Sans MS" w:hAnsi="Comic Sans MS"/>
          <w:b/>
          <w:sz w:val="28"/>
          <w:szCs w:val="22"/>
          <w:u w:val="single"/>
          <w:lang w:val="en-GB"/>
        </w:rPr>
        <w:lastRenderedPageBreak/>
        <w:t>Results</w:t>
      </w:r>
      <w:r w:rsidRPr="00DB5DA1">
        <w:rPr>
          <w:rFonts w:ascii="Comic Sans MS" w:hAnsi="Comic Sans MS"/>
          <w:b/>
          <w:sz w:val="22"/>
          <w:szCs w:val="22"/>
          <w:u w:val="single"/>
          <w:lang w:val="en-GB"/>
        </w:rPr>
        <w:t xml:space="preserve">  </w:t>
      </w:r>
    </w:p>
    <w:p w:rsidR="002D7288" w:rsidRDefault="002D7288" w:rsidP="002D7288">
      <w:pPr>
        <w:jc w:val="both"/>
        <w:rPr>
          <w:rFonts w:ascii="Comic Sans MS" w:hAnsi="Comic Sans MS"/>
          <w:b/>
          <w:bCs/>
          <w:sz w:val="22"/>
          <w:szCs w:val="22"/>
          <w:u w:val="single"/>
          <w:lang w:val="en-US"/>
        </w:rPr>
      </w:pPr>
    </w:p>
    <w:p w:rsidR="008A12E1" w:rsidRDefault="008A12E1" w:rsidP="002D7288">
      <w:pPr>
        <w:jc w:val="both"/>
        <w:rPr>
          <w:rFonts w:ascii="Comic Sans MS" w:hAnsi="Comic Sans MS"/>
          <w:sz w:val="22"/>
          <w:szCs w:val="22"/>
          <w:lang w:val="en-GB"/>
        </w:rPr>
      </w:pPr>
    </w:p>
    <w:p w:rsidR="00671FEC" w:rsidRDefault="002D7288" w:rsidP="002D7288">
      <w:pPr>
        <w:jc w:val="both"/>
        <w:rPr>
          <w:rFonts w:ascii="Comic Sans MS" w:hAnsi="Comic Sans MS"/>
          <w:sz w:val="22"/>
          <w:szCs w:val="22"/>
          <w:lang w:val="en-GB"/>
        </w:rPr>
      </w:pPr>
      <w:r w:rsidRPr="00D16CD4">
        <w:rPr>
          <w:rFonts w:ascii="Comic Sans MS" w:hAnsi="Comic Sans MS"/>
          <w:sz w:val="22"/>
          <w:szCs w:val="22"/>
          <w:lang w:val="en-GB"/>
        </w:rPr>
        <w:t xml:space="preserve">The total study population consisted of </w:t>
      </w:r>
      <w:r w:rsidR="0053065C">
        <w:rPr>
          <w:rFonts w:ascii="Comic Sans MS" w:hAnsi="Comic Sans MS"/>
          <w:sz w:val="22"/>
          <w:szCs w:val="22"/>
          <w:lang w:val="en-GB"/>
        </w:rPr>
        <w:t>2</w:t>
      </w:r>
      <w:r w:rsidR="00A80DC2">
        <w:rPr>
          <w:rFonts w:ascii="Comic Sans MS" w:hAnsi="Comic Sans MS"/>
          <w:sz w:val="22"/>
          <w:szCs w:val="22"/>
          <w:lang w:val="en-GB"/>
        </w:rPr>
        <w:t>2702</w:t>
      </w:r>
      <w:r w:rsidRPr="00D16CD4">
        <w:rPr>
          <w:rFonts w:ascii="Comic Sans MS" w:hAnsi="Comic Sans MS"/>
          <w:sz w:val="22"/>
          <w:szCs w:val="22"/>
          <w:lang w:val="en-GB"/>
        </w:rPr>
        <w:t xml:space="preserve"> </w:t>
      </w:r>
      <w:r w:rsidR="00A80DC2">
        <w:rPr>
          <w:rFonts w:ascii="Comic Sans MS" w:hAnsi="Comic Sans MS"/>
          <w:sz w:val="22"/>
          <w:szCs w:val="22"/>
          <w:lang w:val="en-GB"/>
        </w:rPr>
        <w:t>STEMI</w:t>
      </w:r>
      <w:r w:rsidR="008A12E1">
        <w:rPr>
          <w:rFonts w:ascii="Comic Sans MS" w:hAnsi="Comic Sans MS"/>
          <w:sz w:val="22"/>
          <w:szCs w:val="22"/>
          <w:lang w:val="en-GB"/>
        </w:rPr>
        <w:t xml:space="preserve"> </w:t>
      </w:r>
      <w:r w:rsidRPr="00D16CD4">
        <w:rPr>
          <w:rFonts w:ascii="Comic Sans MS" w:hAnsi="Comic Sans MS"/>
          <w:sz w:val="22"/>
          <w:szCs w:val="22"/>
          <w:lang w:val="en-GB"/>
        </w:rPr>
        <w:t xml:space="preserve">patients. </w:t>
      </w:r>
      <w:r w:rsidR="00A80DC2">
        <w:rPr>
          <w:rFonts w:ascii="Comic Sans MS" w:hAnsi="Comic Sans MS"/>
          <w:sz w:val="22"/>
          <w:szCs w:val="22"/>
          <w:lang w:val="en-GB"/>
        </w:rPr>
        <w:t>In 13403 patients information about time lines were present</w:t>
      </w:r>
      <w:r w:rsidR="00671FEC">
        <w:rPr>
          <w:rFonts w:ascii="Comic Sans MS" w:hAnsi="Comic Sans MS"/>
          <w:sz w:val="22"/>
          <w:szCs w:val="22"/>
          <w:lang w:val="en-GB"/>
        </w:rPr>
        <w:t>. Patients with time line information had a lower risk profile and lower in</w:t>
      </w:r>
      <w:r w:rsidR="008A12E1">
        <w:rPr>
          <w:rFonts w:ascii="Comic Sans MS" w:hAnsi="Comic Sans MS"/>
          <w:sz w:val="22"/>
          <w:szCs w:val="22"/>
          <w:lang w:val="en-GB"/>
        </w:rPr>
        <w:t xml:space="preserve"> </w:t>
      </w:r>
      <w:r w:rsidR="00671FEC">
        <w:rPr>
          <w:rFonts w:ascii="Comic Sans MS" w:hAnsi="Comic Sans MS"/>
          <w:sz w:val="22"/>
          <w:szCs w:val="22"/>
          <w:lang w:val="en-GB"/>
        </w:rPr>
        <w:t>hospital mortality than patients without time line information. (see Table 1)</w:t>
      </w:r>
    </w:p>
    <w:p w:rsidR="00640E47" w:rsidRDefault="00640E47" w:rsidP="002D7288">
      <w:pPr>
        <w:jc w:val="both"/>
        <w:rPr>
          <w:rFonts w:ascii="Comic Sans MS" w:hAnsi="Comic Sans MS"/>
          <w:sz w:val="22"/>
          <w:szCs w:val="22"/>
          <w:lang w:val="en-GB"/>
        </w:rPr>
      </w:pPr>
    </w:p>
    <w:tbl>
      <w:tblPr>
        <w:tblStyle w:val="GridTable4Accent1"/>
        <w:tblW w:w="0" w:type="auto"/>
        <w:tblLook w:val="04A0" w:firstRow="1" w:lastRow="0" w:firstColumn="1" w:lastColumn="0" w:noHBand="0" w:noVBand="1"/>
      </w:tblPr>
      <w:tblGrid>
        <w:gridCol w:w="2349"/>
        <w:gridCol w:w="2349"/>
        <w:gridCol w:w="2527"/>
        <w:gridCol w:w="2171"/>
      </w:tblGrid>
      <w:tr w:rsidR="008A12E1" w:rsidTr="008A1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8A12E1" w:rsidRDefault="008A12E1" w:rsidP="002D7288">
            <w:pPr>
              <w:jc w:val="both"/>
              <w:rPr>
                <w:rFonts w:ascii="Comic Sans MS" w:hAnsi="Comic Sans MS"/>
                <w:sz w:val="22"/>
                <w:szCs w:val="22"/>
                <w:lang w:val="en-GB"/>
              </w:rPr>
            </w:pPr>
          </w:p>
        </w:tc>
        <w:tc>
          <w:tcPr>
            <w:tcW w:w="2349" w:type="dxa"/>
          </w:tcPr>
          <w:p w:rsidR="008A12E1" w:rsidRDefault="008A12E1" w:rsidP="002D7288">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With time inform.</w:t>
            </w:r>
          </w:p>
          <w:p w:rsidR="008A12E1" w:rsidRDefault="008A12E1" w:rsidP="002D7288">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 xml:space="preserve">  N= 13403</w:t>
            </w:r>
          </w:p>
        </w:tc>
        <w:tc>
          <w:tcPr>
            <w:tcW w:w="2527" w:type="dxa"/>
          </w:tcPr>
          <w:p w:rsidR="008A12E1" w:rsidRDefault="008A12E1" w:rsidP="002D7288">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Without time inform.</w:t>
            </w:r>
          </w:p>
          <w:p w:rsidR="008A12E1" w:rsidRDefault="008A12E1" w:rsidP="002D7288">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 xml:space="preserve">     N=9299</w:t>
            </w:r>
          </w:p>
        </w:tc>
        <w:tc>
          <w:tcPr>
            <w:tcW w:w="2171" w:type="dxa"/>
          </w:tcPr>
          <w:p w:rsidR="008A12E1" w:rsidRDefault="008A12E1" w:rsidP="002D7288">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 xml:space="preserve">  P value</w:t>
            </w:r>
          </w:p>
        </w:tc>
      </w:tr>
      <w:tr w:rsidR="008A12E1" w:rsidTr="008A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8A12E1" w:rsidRDefault="008A12E1" w:rsidP="002D7288">
            <w:pPr>
              <w:jc w:val="both"/>
              <w:rPr>
                <w:rFonts w:ascii="Comic Sans MS" w:hAnsi="Comic Sans MS"/>
                <w:sz w:val="22"/>
                <w:szCs w:val="22"/>
                <w:lang w:val="en-GB"/>
              </w:rPr>
            </w:pPr>
            <w:r>
              <w:rPr>
                <w:rFonts w:ascii="Comic Sans MS" w:hAnsi="Comic Sans MS"/>
                <w:sz w:val="22"/>
                <w:szCs w:val="22"/>
                <w:lang w:val="en-GB"/>
              </w:rPr>
              <w:t>TIMI risk score</w:t>
            </w:r>
          </w:p>
        </w:tc>
        <w:tc>
          <w:tcPr>
            <w:tcW w:w="2349"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3.9 ± 2.6</w:t>
            </w:r>
          </w:p>
        </w:tc>
        <w:tc>
          <w:tcPr>
            <w:tcW w:w="2527"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4.2 ± 2.6</w:t>
            </w:r>
          </w:p>
        </w:tc>
        <w:tc>
          <w:tcPr>
            <w:tcW w:w="2171"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&lt;0.001</w:t>
            </w:r>
          </w:p>
        </w:tc>
      </w:tr>
      <w:tr w:rsidR="008A12E1" w:rsidTr="008A12E1">
        <w:tc>
          <w:tcPr>
            <w:cnfStyle w:val="001000000000" w:firstRow="0" w:lastRow="0" w:firstColumn="1" w:lastColumn="0" w:oddVBand="0" w:evenVBand="0" w:oddHBand="0" w:evenHBand="0" w:firstRowFirstColumn="0" w:firstRowLastColumn="0" w:lastRowFirstColumn="0" w:lastRowLastColumn="0"/>
            <w:tcW w:w="2349" w:type="dxa"/>
          </w:tcPr>
          <w:p w:rsidR="008A12E1" w:rsidRDefault="008A12E1" w:rsidP="002D7288">
            <w:pPr>
              <w:jc w:val="both"/>
              <w:rPr>
                <w:rFonts w:ascii="Comic Sans MS" w:hAnsi="Comic Sans MS"/>
                <w:sz w:val="22"/>
                <w:szCs w:val="22"/>
                <w:lang w:val="en-GB"/>
              </w:rPr>
            </w:pPr>
            <w:r>
              <w:rPr>
                <w:rFonts w:ascii="Comic Sans MS" w:hAnsi="Comic Sans MS"/>
                <w:sz w:val="22"/>
                <w:szCs w:val="22"/>
                <w:lang w:val="en-GB"/>
              </w:rPr>
              <w:t>Cardiac arrest,%</w:t>
            </w:r>
          </w:p>
        </w:tc>
        <w:tc>
          <w:tcPr>
            <w:tcW w:w="2349"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9.8%</w:t>
            </w:r>
          </w:p>
        </w:tc>
        <w:tc>
          <w:tcPr>
            <w:tcW w:w="2527"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12.1%</w:t>
            </w:r>
          </w:p>
        </w:tc>
        <w:tc>
          <w:tcPr>
            <w:tcW w:w="2171"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&lt;0.0001</w:t>
            </w:r>
          </w:p>
        </w:tc>
      </w:tr>
      <w:tr w:rsidR="008A12E1" w:rsidTr="008A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rsidR="008A12E1" w:rsidRDefault="008A12E1" w:rsidP="002D7288">
            <w:pPr>
              <w:jc w:val="both"/>
              <w:rPr>
                <w:rFonts w:ascii="Comic Sans MS" w:hAnsi="Comic Sans MS"/>
                <w:sz w:val="22"/>
                <w:szCs w:val="22"/>
                <w:lang w:val="en-GB"/>
              </w:rPr>
            </w:pPr>
            <w:r>
              <w:rPr>
                <w:rFonts w:ascii="Comic Sans MS" w:hAnsi="Comic Sans MS"/>
                <w:sz w:val="22"/>
                <w:szCs w:val="22"/>
                <w:lang w:val="en-GB"/>
              </w:rPr>
              <w:t>Mortality,%</w:t>
            </w:r>
          </w:p>
        </w:tc>
        <w:tc>
          <w:tcPr>
            <w:tcW w:w="2349"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5.5%</w:t>
            </w:r>
          </w:p>
        </w:tc>
        <w:tc>
          <w:tcPr>
            <w:tcW w:w="2527"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7.2%</w:t>
            </w:r>
          </w:p>
        </w:tc>
        <w:tc>
          <w:tcPr>
            <w:tcW w:w="2171" w:type="dxa"/>
          </w:tcPr>
          <w:p w:rsidR="008A12E1" w:rsidRDefault="008A12E1" w:rsidP="008A12E1">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&lt;0.0001</w:t>
            </w:r>
          </w:p>
        </w:tc>
      </w:tr>
      <w:tr w:rsidR="008A12E1" w:rsidTr="008A12E1">
        <w:tc>
          <w:tcPr>
            <w:cnfStyle w:val="001000000000" w:firstRow="0" w:lastRow="0" w:firstColumn="1" w:lastColumn="0" w:oddVBand="0" w:evenVBand="0" w:oddHBand="0" w:evenHBand="0" w:firstRowFirstColumn="0" w:firstRowLastColumn="0" w:lastRowFirstColumn="0" w:lastRowLastColumn="0"/>
            <w:tcW w:w="2349" w:type="dxa"/>
          </w:tcPr>
          <w:p w:rsidR="008A12E1" w:rsidRDefault="008A12E1" w:rsidP="002D7288">
            <w:pPr>
              <w:jc w:val="both"/>
              <w:rPr>
                <w:rFonts w:ascii="Comic Sans MS" w:hAnsi="Comic Sans MS"/>
                <w:sz w:val="22"/>
                <w:szCs w:val="22"/>
                <w:lang w:val="en-GB"/>
              </w:rPr>
            </w:pPr>
          </w:p>
        </w:tc>
        <w:tc>
          <w:tcPr>
            <w:tcW w:w="2349"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p>
        </w:tc>
        <w:tc>
          <w:tcPr>
            <w:tcW w:w="2527"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p>
        </w:tc>
        <w:tc>
          <w:tcPr>
            <w:tcW w:w="2171" w:type="dxa"/>
          </w:tcPr>
          <w:p w:rsidR="008A12E1" w:rsidRDefault="008A12E1" w:rsidP="008A12E1">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p>
        </w:tc>
      </w:tr>
    </w:tbl>
    <w:p w:rsidR="008A12E1" w:rsidRDefault="008A12E1" w:rsidP="002D7288">
      <w:pPr>
        <w:jc w:val="both"/>
        <w:rPr>
          <w:rFonts w:ascii="Comic Sans MS" w:hAnsi="Comic Sans MS"/>
          <w:sz w:val="22"/>
          <w:szCs w:val="22"/>
          <w:lang w:val="en-GB"/>
        </w:rPr>
      </w:pPr>
    </w:p>
    <w:p w:rsidR="002D7288" w:rsidRDefault="002D7288" w:rsidP="002D7288">
      <w:pPr>
        <w:rPr>
          <w:rFonts w:ascii="Comic Sans MS" w:hAnsi="Comic Sans MS"/>
          <w:sz w:val="22"/>
          <w:szCs w:val="22"/>
          <w:lang w:val="en-GB"/>
        </w:rPr>
      </w:pPr>
    </w:p>
    <w:p w:rsidR="002D7288" w:rsidRDefault="002D7288" w:rsidP="002D7288">
      <w:pPr>
        <w:rPr>
          <w:rFonts w:ascii="Comic Sans MS" w:hAnsi="Comic Sans MS"/>
          <w:sz w:val="22"/>
          <w:szCs w:val="22"/>
          <w:lang w:val="en-GB"/>
        </w:rPr>
      </w:pPr>
    </w:p>
    <w:p w:rsidR="00C25D1F" w:rsidRDefault="00C25D1F" w:rsidP="002D7288">
      <w:pPr>
        <w:jc w:val="both"/>
        <w:rPr>
          <w:rFonts w:ascii="Comic Sans MS" w:hAnsi="Comic Sans MS"/>
          <w:bCs/>
          <w:i/>
          <w:sz w:val="22"/>
          <w:szCs w:val="22"/>
          <w:lang w:val="en-GB"/>
        </w:rPr>
      </w:pPr>
      <w:r>
        <w:rPr>
          <w:rFonts w:ascii="Comic Sans MS" w:hAnsi="Comic Sans MS"/>
          <w:bCs/>
          <w:i/>
          <w:sz w:val="22"/>
          <w:szCs w:val="22"/>
          <w:lang w:val="en-GB"/>
        </w:rPr>
        <w:t>Quality indicators</w:t>
      </w:r>
    </w:p>
    <w:p w:rsidR="002D7288" w:rsidRDefault="002D7288" w:rsidP="002D7288">
      <w:pPr>
        <w:jc w:val="both"/>
        <w:rPr>
          <w:rFonts w:ascii="Comic Sans MS" w:hAnsi="Comic Sans MS"/>
          <w:bCs/>
          <w:i/>
          <w:sz w:val="22"/>
          <w:szCs w:val="22"/>
          <w:lang w:val="en-GB"/>
        </w:rPr>
      </w:pPr>
    </w:p>
    <w:p w:rsidR="008612F5" w:rsidRDefault="008A12E1" w:rsidP="002D7288">
      <w:pPr>
        <w:jc w:val="both"/>
        <w:rPr>
          <w:rFonts w:ascii="Comic Sans MS" w:hAnsi="Comic Sans MS"/>
          <w:bCs/>
          <w:sz w:val="22"/>
          <w:szCs w:val="22"/>
          <w:lang w:val="en-GB"/>
        </w:rPr>
      </w:pPr>
      <w:r>
        <w:rPr>
          <w:rFonts w:ascii="Comic Sans MS" w:hAnsi="Comic Sans MS"/>
          <w:bCs/>
          <w:sz w:val="22"/>
          <w:szCs w:val="22"/>
          <w:lang w:val="en-GB"/>
        </w:rPr>
        <w:t>The majority of patients</w:t>
      </w:r>
      <w:r w:rsidR="008612F5">
        <w:rPr>
          <w:rFonts w:ascii="Comic Sans MS" w:hAnsi="Comic Sans MS"/>
          <w:bCs/>
          <w:sz w:val="22"/>
          <w:szCs w:val="22"/>
          <w:lang w:val="en-GB"/>
        </w:rPr>
        <w:t xml:space="preserve"> (93%)</w:t>
      </w:r>
      <w:r>
        <w:rPr>
          <w:rFonts w:ascii="Comic Sans MS" w:hAnsi="Comic Sans MS"/>
          <w:bCs/>
          <w:sz w:val="22"/>
          <w:szCs w:val="22"/>
          <w:lang w:val="en-GB"/>
        </w:rPr>
        <w:t xml:space="preserve">   underwent primary PCI as reperfusion therapy. Thrombolysis was given in </w:t>
      </w:r>
      <w:r w:rsidR="008612F5">
        <w:rPr>
          <w:rFonts w:ascii="Comic Sans MS" w:hAnsi="Comic Sans MS"/>
          <w:bCs/>
          <w:sz w:val="22"/>
          <w:szCs w:val="22"/>
          <w:lang w:val="en-GB"/>
        </w:rPr>
        <w:t xml:space="preserve">3% of the </w:t>
      </w:r>
      <w:r>
        <w:rPr>
          <w:rFonts w:ascii="Comic Sans MS" w:hAnsi="Comic Sans MS"/>
          <w:bCs/>
          <w:sz w:val="22"/>
          <w:szCs w:val="22"/>
          <w:lang w:val="en-GB"/>
        </w:rPr>
        <w:t xml:space="preserve"> patients and </w:t>
      </w:r>
      <w:r w:rsidR="008612F5">
        <w:rPr>
          <w:rFonts w:ascii="Comic Sans MS" w:hAnsi="Comic Sans MS"/>
          <w:bCs/>
          <w:sz w:val="22"/>
          <w:szCs w:val="22"/>
          <w:lang w:val="en-GB"/>
        </w:rPr>
        <w:t>4% of the</w:t>
      </w:r>
      <w:r>
        <w:rPr>
          <w:rFonts w:ascii="Comic Sans MS" w:hAnsi="Comic Sans MS"/>
          <w:bCs/>
          <w:sz w:val="22"/>
          <w:szCs w:val="22"/>
          <w:lang w:val="en-GB"/>
        </w:rPr>
        <w:t xml:space="preserve"> patients did not receive any reperfusion therapy mainly because of late presentation and/or</w:t>
      </w:r>
      <w:r w:rsidR="008612F5">
        <w:rPr>
          <w:rFonts w:ascii="Comic Sans MS" w:hAnsi="Comic Sans MS"/>
          <w:bCs/>
          <w:sz w:val="22"/>
          <w:szCs w:val="22"/>
          <w:lang w:val="en-GB"/>
        </w:rPr>
        <w:t xml:space="preserve"> severe comorbidity.</w:t>
      </w:r>
    </w:p>
    <w:p w:rsidR="002D7288" w:rsidRDefault="008A12E1" w:rsidP="008612F5">
      <w:pPr>
        <w:jc w:val="both"/>
        <w:rPr>
          <w:rFonts w:ascii="Comic Sans MS" w:hAnsi="Comic Sans MS"/>
          <w:bCs/>
          <w:sz w:val="22"/>
          <w:szCs w:val="22"/>
          <w:lang w:val="en-GB"/>
        </w:rPr>
      </w:pPr>
      <w:r>
        <w:rPr>
          <w:rFonts w:ascii="Comic Sans MS" w:hAnsi="Comic Sans MS"/>
          <w:bCs/>
          <w:sz w:val="22"/>
          <w:szCs w:val="22"/>
          <w:lang w:val="en-GB"/>
        </w:rPr>
        <w:t xml:space="preserve"> </w:t>
      </w:r>
    </w:p>
    <w:p w:rsidR="008612F5" w:rsidRDefault="008612F5" w:rsidP="008612F5">
      <w:pPr>
        <w:jc w:val="both"/>
        <w:rPr>
          <w:rFonts w:ascii="Comic Sans MS" w:hAnsi="Comic Sans MS"/>
          <w:sz w:val="22"/>
          <w:szCs w:val="22"/>
          <w:lang w:val="en-GB"/>
        </w:rPr>
      </w:pPr>
      <w:r w:rsidRPr="008612F5">
        <w:rPr>
          <w:rFonts w:ascii="Comic Sans MS" w:hAnsi="Comic Sans MS"/>
          <w:sz w:val="22"/>
          <w:szCs w:val="22"/>
          <w:lang w:val="en-GB"/>
        </w:rPr>
        <w:t>The average diagnosis-to-balloon time was 9</w:t>
      </w:r>
      <w:r>
        <w:rPr>
          <w:rFonts w:ascii="Comic Sans MS" w:hAnsi="Comic Sans MS"/>
          <w:sz w:val="22"/>
          <w:szCs w:val="22"/>
          <w:lang w:val="en-GB"/>
        </w:rPr>
        <w:t>0</w:t>
      </w:r>
      <w:r w:rsidRPr="008612F5">
        <w:rPr>
          <w:rFonts w:ascii="Comic Sans MS" w:hAnsi="Comic Sans MS"/>
          <w:sz w:val="22"/>
          <w:szCs w:val="22"/>
          <w:lang w:val="en-GB"/>
        </w:rPr>
        <w:t xml:space="preserve"> min ± </w:t>
      </w:r>
      <w:r>
        <w:rPr>
          <w:rFonts w:ascii="Comic Sans MS" w:hAnsi="Comic Sans MS"/>
          <w:sz w:val="22"/>
          <w:szCs w:val="22"/>
          <w:lang w:val="en-GB"/>
        </w:rPr>
        <w:t>79</w:t>
      </w:r>
      <w:r w:rsidRPr="008612F5">
        <w:rPr>
          <w:rFonts w:ascii="Comic Sans MS" w:hAnsi="Comic Sans MS"/>
          <w:sz w:val="22"/>
          <w:szCs w:val="22"/>
          <w:lang w:val="en-GB"/>
        </w:rPr>
        <w:t xml:space="preserve"> with a median of 7</w:t>
      </w:r>
      <w:r>
        <w:rPr>
          <w:rFonts w:ascii="Comic Sans MS" w:hAnsi="Comic Sans MS"/>
          <w:sz w:val="22"/>
          <w:szCs w:val="22"/>
          <w:lang w:val="en-GB"/>
        </w:rPr>
        <w:t>3</w:t>
      </w:r>
      <w:r w:rsidRPr="008612F5">
        <w:rPr>
          <w:rFonts w:ascii="Comic Sans MS" w:hAnsi="Comic Sans MS"/>
          <w:sz w:val="22"/>
          <w:szCs w:val="22"/>
          <w:lang w:val="en-GB"/>
        </w:rPr>
        <w:t xml:space="preserve"> min. D</w:t>
      </w:r>
      <w:r w:rsidR="00122CDB">
        <w:rPr>
          <w:rFonts w:ascii="Comic Sans MS" w:hAnsi="Comic Sans MS"/>
          <w:sz w:val="22"/>
          <w:szCs w:val="22"/>
          <w:lang w:val="en-GB"/>
        </w:rPr>
        <w:t>ia</w:t>
      </w:r>
      <w:r w:rsidRPr="008612F5">
        <w:rPr>
          <w:rFonts w:ascii="Comic Sans MS" w:hAnsi="Comic Sans MS"/>
          <w:sz w:val="22"/>
          <w:szCs w:val="22"/>
          <w:lang w:val="en-GB"/>
        </w:rPr>
        <w:t>TB</w:t>
      </w:r>
      <w:r>
        <w:rPr>
          <w:rFonts w:ascii="Comic Sans MS" w:hAnsi="Comic Sans MS"/>
          <w:sz w:val="22"/>
          <w:szCs w:val="22"/>
          <w:lang w:val="en-GB"/>
        </w:rPr>
        <w:t>&lt;90</w:t>
      </w:r>
      <w:r w:rsidRPr="008612F5">
        <w:rPr>
          <w:rFonts w:ascii="Comic Sans MS" w:hAnsi="Comic Sans MS"/>
          <w:sz w:val="22"/>
          <w:szCs w:val="22"/>
          <w:lang w:val="en-GB"/>
        </w:rPr>
        <w:t>min</w:t>
      </w:r>
      <w:r w:rsidR="00122CDB">
        <w:rPr>
          <w:rFonts w:ascii="Comic Sans MS" w:hAnsi="Comic Sans MS"/>
          <w:sz w:val="22"/>
          <w:szCs w:val="22"/>
          <w:lang w:val="en-GB"/>
        </w:rPr>
        <w:t xml:space="preserve"> was present in 66% of the patients, DiaTB between 90-120</w:t>
      </w:r>
      <w:r w:rsidR="00066948">
        <w:rPr>
          <w:rFonts w:ascii="Comic Sans MS" w:hAnsi="Comic Sans MS"/>
          <w:sz w:val="22"/>
          <w:szCs w:val="22"/>
          <w:lang w:val="en-GB"/>
        </w:rPr>
        <w:t xml:space="preserve"> min</w:t>
      </w:r>
      <w:r w:rsidRPr="008612F5">
        <w:rPr>
          <w:rFonts w:ascii="Comic Sans MS" w:hAnsi="Comic Sans MS"/>
          <w:sz w:val="22"/>
          <w:szCs w:val="22"/>
          <w:lang w:val="en-GB"/>
        </w:rPr>
        <w:t xml:space="preserve"> was</w:t>
      </w:r>
      <w:r>
        <w:rPr>
          <w:rFonts w:ascii="Comic Sans MS" w:hAnsi="Comic Sans MS"/>
          <w:sz w:val="22"/>
          <w:szCs w:val="22"/>
          <w:lang w:val="en-GB"/>
        </w:rPr>
        <w:t xml:space="preserve"> present in 1</w:t>
      </w:r>
      <w:r w:rsidR="00122CDB">
        <w:rPr>
          <w:rFonts w:ascii="Comic Sans MS" w:hAnsi="Comic Sans MS"/>
          <w:sz w:val="22"/>
          <w:szCs w:val="22"/>
          <w:lang w:val="en-GB"/>
        </w:rPr>
        <w:t>5% of the patients and prolonged DiaTB (&gt;120min) was present in 19% of the patients.</w:t>
      </w:r>
    </w:p>
    <w:p w:rsidR="002D7288" w:rsidRDefault="002D7288" w:rsidP="002D7288">
      <w:pPr>
        <w:rPr>
          <w:rFonts w:ascii="Comic Sans MS" w:hAnsi="Comic Sans MS"/>
          <w:sz w:val="22"/>
          <w:szCs w:val="22"/>
          <w:lang w:val="en-GB"/>
        </w:rPr>
      </w:pPr>
    </w:p>
    <w:p w:rsidR="00122CDB" w:rsidRDefault="00122CDB" w:rsidP="00122CDB">
      <w:pPr>
        <w:jc w:val="both"/>
        <w:rPr>
          <w:rFonts w:ascii="Comic Sans MS" w:hAnsi="Comic Sans MS"/>
          <w:sz w:val="22"/>
          <w:szCs w:val="22"/>
          <w:lang w:val="en-GB"/>
        </w:rPr>
      </w:pPr>
      <w:r w:rsidRPr="008612F5">
        <w:rPr>
          <w:rFonts w:ascii="Comic Sans MS" w:hAnsi="Comic Sans MS"/>
          <w:sz w:val="22"/>
          <w:szCs w:val="22"/>
          <w:lang w:val="en-GB"/>
        </w:rPr>
        <w:t>The average d</w:t>
      </w:r>
      <w:r>
        <w:rPr>
          <w:rFonts w:ascii="Comic Sans MS" w:hAnsi="Comic Sans MS"/>
          <w:sz w:val="22"/>
          <w:szCs w:val="22"/>
          <w:lang w:val="en-GB"/>
        </w:rPr>
        <w:t>oo</w:t>
      </w:r>
      <w:r w:rsidR="008D05F5">
        <w:rPr>
          <w:rFonts w:ascii="Comic Sans MS" w:hAnsi="Comic Sans MS"/>
          <w:sz w:val="22"/>
          <w:szCs w:val="22"/>
          <w:lang w:val="en-GB"/>
        </w:rPr>
        <w:t>r</w:t>
      </w:r>
      <w:r w:rsidRPr="008612F5">
        <w:rPr>
          <w:rFonts w:ascii="Comic Sans MS" w:hAnsi="Comic Sans MS"/>
          <w:sz w:val="22"/>
          <w:szCs w:val="22"/>
          <w:lang w:val="en-GB"/>
        </w:rPr>
        <w:t xml:space="preserve">-to-balloon time was </w:t>
      </w:r>
      <w:r w:rsidR="00066948">
        <w:rPr>
          <w:rFonts w:ascii="Comic Sans MS" w:hAnsi="Comic Sans MS"/>
          <w:sz w:val="22"/>
          <w:szCs w:val="22"/>
          <w:lang w:val="en-GB"/>
        </w:rPr>
        <w:t>57</w:t>
      </w:r>
      <w:r w:rsidRPr="008612F5">
        <w:rPr>
          <w:rFonts w:ascii="Comic Sans MS" w:hAnsi="Comic Sans MS"/>
          <w:sz w:val="22"/>
          <w:szCs w:val="22"/>
          <w:lang w:val="en-GB"/>
        </w:rPr>
        <w:t xml:space="preserve"> min ± </w:t>
      </w:r>
      <w:r w:rsidR="00066948">
        <w:rPr>
          <w:rFonts w:ascii="Comic Sans MS" w:hAnsi="Comic Sans MS"/>
          <w:sz w:val="22"/>
          <w:szCs w:val="22"/>
          <w:lang w:val="en-GB"/>
        </w:rPr>
        <w:t>4</w:t>
      </w:r>
      <w:r>
        <w:rPr>
          <w:rFonts w:ascii="Comic Sans MS" w:hAnsi="Comic Sans MS"/>
          <w:sz w:val="22"/>
          <w:szCs w:val="22"/>
          <w:lang w:val="en-GB"/>
        </w:rPr>
        <w:t>9</w:t>
      </w:r>
      <w:r w:rsidRPr="008612F5">
        <w:rPr>
          <w:rFonts w:ascii="Comic Sans MS" w:hAnsi="Comic Sans MS"/>
          <w:sz w:val="22"/>
          <w:szCs w:val="22"/>
          <w:lang w:val="en-GB"/>
        </w:rPr>
        <w:t xml:space="preserve"> with a median of </w:t>
      </w:r>
      <w:r w:rsidR="00066948">
        <w:rPr>
          <w:rFonts w:ascii="Comic Sans MS" w:hAnsi="Comic Sans MS"/>
          <w:sz w:val="22"/>
          <w:szCs w:val="22"/>
          <w:lang w:val="en-GB"/>
        </w:rPr>
        <w:t>4</w:t>
      </w:r>
      <w:r>
        <w:rPr>
          <w:rFonts w:ascii="Comic Sans MS" w:hAnsi="Comic Sans MS"/>
          <w:sz w:val="22"/>
          <w:szCs w:val="22"/>
          <w:lang w:val="en-GB"/>
        </w:rPr>
        <w:t>3</w:t>
      </w:r>
      <w:r w:rsidRPr="008612F5">
        <w:rPr>
          <w:rFonts w:ascii="Comic Sans MS" w:hAnsi="Comic Sans MS"/>
          <w:sz w:val="22"/>
          <w:szCs w:val="22"/>
          <w:lang w:val="en-GB"/>
        </w:rPr>
        <w:t xml:space="preserve"> min. D</w:t>
      </w:r>
      <w:r>
        <w:rPr>
          <w:rFonts w:ascii="Comic Sans MS" w:hAnsi="Comic Sans MS"/>
          <w:sz w:val="22"/>
          <w:szCs w:val="22"/>
          <w:lang w:val="en-GB"/>
        </w:rPr>
        <w:t>o</w:t>
      </w:r>
      <w:r w:rsidRPr="008612F5">
        <w:rPr>
          <w:rFonts w:ascii="Comic Sans MS" w:hAnsi="Comic Sans MS"/>
          <w:sz w:val="22"/>
          <w:szCs w:val="22"/>
          <w:lang w:val="en-GB"/>
        </w:rPr>
        <w:t>TB</w:t>
      </w:r>
      <w:r>
        <w:rPr>
          <w:rFonts w:ascii="Comic Sans MS" w:hAnsi="Comic Sans MS"/>
          <w:sz w:val="22"/>
          <w:szCs w:val="22"/>
          <w:lang w:val="en-GB"/>
        </w:rPr>
        <w:t>&lt;60</w:t>
      </w:r>
      <w:r w:rsidRPr="008612F5">
        <w:rPr>
          <w:rFonts w:ascii="Comic Sans MS" w:hAnsi="Comic Sans MS"/>
          <w:sz w:val="22"/>
          <w:szCs w:val="22"/>
          <w:lang w:val="en-GB"/>
        </w:rPr>
        <w:t>min</w:t>
      </w:r>
      <w:r>
        <w:rPr>
          <w:rFonts w:ascii="Comic Sans MS" w:hAnsi="Comic Sans MS"/>
          <w:sz w:val="22"/>
          <w:szCs w:val="22"/>
          <w:lang w:val="en-GB"/>
        </w:rPr>
        <w:t xml:space="preserve"> was present in 68% of the patients, DoTB between 60-90</w:t>
      </w:r>
      <w:r w:rsidR="00066948">
        <w:rPr>
          <w:rFonts w:ascii="Comic Sans MS" w:hAnsi="Comic Sans MS"/>
          <w:sz w:val="22"/>
          <w:szCs w:val="22"/>
          <w:lang w:val="en-GB"/>
        </w:rPr>
        <w:t>min</w:t>
      </w:r>
      <w:r>
        <w:rPr>
          <w:rFonts w:ascii="Comic Sans MS" w:hAnsi="Comic Sans MS"/>
          <w:sz w:val="22"/>
          <w:szCs w:val="22"/>
          <w:lang w:val="en-GB"/>
        </w:rPr>
        <w:t xml:space="preserve"> </w:t>
      </w:r>
      <w:r w:rsidRPr="008612F5">
        <w:rPr>
          <w:rFonts w:ascii="Comic Sans MS" w:hAnsi="Comic Sans MS"/>
          <w:sz w:val="22"/>
          <w:szCs w:val="22"/>
          <w:lang w:val="en-GB"/>
        </w:rPr>
        <w:t xml:space="preserve"> was</w:t>
      </w:r>
      <w:r>
        <w:rPr>
          <w:rFonts w:ascii="Comic Sans MS" w:hAnsi="Comic Sans MS"/>
          <w:sz w:val="22"/>
          <w:szCs w:val="22"/>
          <w:lang w:val="en-GB"/>
        </w:rPr>
        <w:t xml:space="preserve"> present in 16% of the patients and prolonged DoTB (&gt;90min) was present in 16% of the patients.</w:t>
      </w:r>
    </w:p>
    <w:p w:rsidR="008D05F5" w:rsidRDefault="008D05F5" w:rsidP="00122CDB">
      <w:pPr>
        <w:jc w:val="both"/>
        <w:rPr>
          <w:rFonts w:ascii="Comic Sans MS" w:hAnsi="Comic Sans MS"/>
          <w:sz w:val="22"/>
          <w:szCs w:val="22"/>
          <w:lang w:val="en-GB"/>
        </w:rPr>
      </w:pPr>
    </w:p>
    <w:p w:rsidR="008D05F5" w:rsidRDefault="008D05F5" w:rsidP="00122CDB">
      <w:pPr>
        <w:jc w:val="both"/>
        <w:rPr>
          <w:rFonts w:ascii="Comic Sans MS" w:hAnsi="Comic Sans MS"/>
          <w:sz w:val="22"/>
          <w:szCs w:val="22"/>
          <w:lang w:val="en-GB"/>
        </w:rPr>
      </w:pPr>
      <w:r>
        <w:rPr>
          <w:rFonts w:ascii="Comic Sans MS" w:hAnsi="Comic Sans MS"/>
          <w:sz w:val="22"/>
          <w:szCs w:val="22"/>
          <w:lang w:val="en-GB"/>
        </w:rPr>
        <w:t xml:space="preserve">The average global quality score was 4.9 </w:t>
      </w:r>
      <w:r w:rsidRPr="008612F5">
        <w:rPr>
          <w:rFonts w:ascii="Comic Sans MS" w:hAnsi="Comic Sans MS"/>
          <w:sz w:val="22"/>
          <w:szCs w:val="22"/>
          <w:lang w:val="en-GB"/>
        </w:rPr>
        <w:t xml:space="preserve">± </w:t>
      </w:r>
      <w:r>
        <w:rPr>
          <w:rFonts w:ascii="Comic Sans MS" w:hAnsi="Comic Sans MS"/>
          <w:sz w:val="22"/>
          <w:szCs w:val="22"/>
          <w:lang w:val="en-GB"/>
        </w:rPr>
        <w:t xml:space="preserve">1.3 with a median of 5.  The majority of the patients (67%  ) has </w:t>
      </w:r>
      <w:r w:rsidR="00640E47">
        <w:rPr>
          <w:rFonts w:ascii="Comic Sans MS" w:hAnsi="Comic Sans MS"/>
          <w:sz w:val="22"/>
          <w:szCs w:val="22"/>
          <w:lang w:val="en-GB"/>
        </w:rPr>
        <w:t>a good quality</w:t>
      </w:r>
      <w:r>
        <w:rPr>
          <w:rFonts w:ascii="Comic Sans MS" w:hAnsi="Comic Sans MS"/>
          <w:sz w:val="22"/>
          <w:szCs w:val="22"/>
          <w:lang w:val="en-GB"/>
        </w:rPr>
        <w:t xml:space="preserve"> score (5-6),  25% has an intermediate score (3-4) and 8 % has a </w:t>
      </w:r>
      <w:r w:rsidR="00640E47">
        <w:rPr>
          <w:rFonts w:ascii="Comic Sans MS" w:hAnsi="Comic Sans MS"/>
          <w:sz w:val="22"/>
          <w:szCs w:val="22"/>
          <w:lang w:val="en-GB"/>
        </w:rPr>
        <w:t>bad</w:t>
      </w:r>
      <w:r>
        <w:rPr>
          <w:rFonts w:ascii="Comic Sans MS" w:hAnsi="Comic Sans MS"/>
          <w:sz w:val="22"/>
          <w:szCs w:val="22"/>
          <w:lang w:val="en-GB"/>
        </w:rPr>
        <w:t xml:space="preserve"> score (&lt;3)</w:t>
      </w:r>
    </w:p>
    <w:p w:rsidR="002D7288" w:rsidRDefault="002D7288" w:rsidP="002D7288">
      <w:pPr>
        <w:jc w:val="both"/>
        <w:rPr>
          <w:rFonts w:ascii="Comic Sans MS" w:hAnsi="Comic Sans MS"/>
          <w:sz w:val="22"/>
          <w:szCs w:val="22"/>
          <w:lang w:val="en-GB"/>
        </w:rPr>
      </w:pPr>
    </w:p>
    <w:p w:rsidR="00640E47" w:rsidRDefault="00640E47" w:rsidP="00640E47">
      <w:pPr>
        <w:jc w:val="both"/>
        <w:rPr>
          <w:rFonts w:ascii="Comic Sans MS" w:hAnsi="Comic Sans MS"/>
          <w:bCs/>
          <w:i/>
          <w:sz w:val="22"/>
          <w:szCs w:val="22"/>
          <w:lang w:val="en-GB"/>
        </w:rPr>
      </w:pPr>
      <w:r>
        <w:rPr>
          <w:rFonts w:ascii="Comic Sans MS" w:hAnsi="Comic Sans MS"/>
          <w:bCs/>
          <w:i/>
          <w:sz w:val="22"/>
          <w:szCs w:val="22"/>
          <w:lang w:val="en-GB"/>
        </w:rPr>
        <w:t>Quality indicators and relation with mortality</w:t>
      </w:r>
    </w:p>
    <w:p w:rsidR="00640E47" w:rsidRDefault="00640E47" w:rsidP="002D7288">
      <w:pPr>
        <w:jc w:val="both"/>
        <w:rPr>
          <w:rFonts w:ascii="Comic Sans MS" w:hAnsi="Comic Sans MS"/>
          <w:sz w:val="22"/>
          <w:szCs w:val="22"/>
          <w:lang w:val="en-GB"/>
        </w:rPr>
      </w:pPr>
    </w:p>
    <w:p w:rsidR="00066948" w:rsidRDefault="008D05F5" w:rsidP="008D05F5">
      <w:pPr>
        <w:jc w:val="both"/>
        <w:rPr>
          <w:rFonts w:ascii="Comic Sans MS" w:hAnsi="Comic Sans MS"/>
          <w:sz w:val="22"/>
          <w:szCs w:val="22"/>
          <w:lang w:val="en-GB"/>
        </w:rPr>
      </w:pPr>
      <w:r w:rsidRPr="008D05F5">
        <w:rPr>
          <w:rFonts w:ascii="Comic Sans MS" w:hAnsi="Comic Sans MS"/>
          <w:sz w:val="22"/>
          <w:szCs w:val="22"/>
          <w:lang w:val="en-GB"/>
        </w:rPr>
        <w:t>The in-hospital mortality of the total study population was 6.</w:t>
      </w:r>
      <w:r>
        <w:rPr>
          <w:rFonts w:ascii="Comic Sans MS" w:hAnsi="Comic Sans MS"/>
          <w:sz w:val="22"/>
          <w:szCs w:val="22"/>
          <w:lang w:val="en-GB"/>
        </w:rPr>
        <w:t>2</w:t>
      </w:r>
      <w:r w:rsidRPr="008D05F5">
        <w:rPr>
          <w:rFonts w:ascii="Comic Sans MS" w:hAnsi="Comic Sans MS"/>
          <w:sz w:val="22"/>
          <w:szCs w:val="22"/>
          <w:lang w:val="en-GB"/>
        </w:rPr>
        <w:t>%. In hospital mortality in the patients without cardiac arrest was 3.</w:t>
      </w:r>
      <w:r>
        <w:rPr>
          <w:rFonts w:ascii="Comic Sans MS" w:hAnsi="Comic Sans MS"/>
          <w:sz w:val="22"/>
          <w:szCs w:val="22"/>
          <w:lang w:val="en-GB"/>
        </w:rPr>
        <w:t>5</w:t>
      </w:r>
      <w:r w:rsidRPr="008D05F5">
        <w:rPr>
          <w:rFonts w:ascii="Comic Sans MS" w:hAnsi="Comic Sans MS"/>
          <w:sz w:val="22"/>
          <w:szCs w:val="22"/>
          <w:lang w:val="en-GB"/>
        </w:rPr>
        <w:t>% whereas the mortality of cardiac arrest patients was 30%.</w:t>
      </w:r>
    </w:p>
    <w:p w:rsidR="00640E47" w:rsidRDefault="00640E47" w:rsidP="008D05F5">
      <w:pPr>
        <w:jc w:val="both"/>
        <w:rPr>
          <w:rFonts w:ascii="Comic Sans MS" w:hAnsi="Comic Sans MS"/>
          <w:sz w:val="22"/>
          <w:szCs w:val="22"/>
          <w:lang w:val="en-GB"/>
        </w:rPr>
      </w:pPr>
      <w:r>
        <w:rPr>
          <w:rFonts w:ascii="Comic Sans MS" w:hAnsi="Comic Sans MS"/>
          <w:sz w:val="22"/>
          <w:szCs w:val="22"/>
          <w:lang w:val="en-GB"/>
        </w:rPr>
        <w:lastRenderedPageBreak/>
        <w:t>There was a significant trend to lower mortality for better quality scores (see figure 1): the mortality for patients with a good quality score was 5.2% versus 12.8% for patients with a bad quality score (p&lt;0.0001).</w:t>
      </w:r>
    </w:p>
    <w:p w:rsidR="00640E47" w:rsidRDefault="00640E47" w:rsidP="008D05F5">
      <w:pPr>
        <w:jc w:val="both"/>
        <w:rPr>
          <w:rFonts w:ascii="Comic Sans MS" w:hAnsi="Comic Sans MS"/>
          <w:sz w:val="22"/>
          <w:szCs w:val="22"/>
          <w:lang w:val="en-GB"/>
        </w:rPr>
      </w:pPr>
    </w:p>
    <w:p w:rsidR="00640E47" w:rsidRDefault="00640E47" w:rsidP="008D05F5">
      <w:pPr>
        <w:jc w:val="both"/>
        <w:rPr>
          <w:rFonts w:ascii="Comic Sans MS" w:hAnsi="Comic Sans MS"/>
          <w:sz w:val="22"/>
          <w:szCs w:val="22"/>
          <w:lang w:val="en-GB"/>
        </w:rPr>
      </w:pPr>
      <w:r w:rsidRPr="00640E47">
        <w:rPr>
          <w:rFonts w:ascii="Comic Sans MS" w:hAnsi="Comic Sans MS"/>
          <w:noProof/>
          <w:sz w:val="22"/>
          <w:szCs w:val="22"/>
          <w:lang w:val="en-GB" w:eastAsia="en-GB"/>
        </w:rPr>
        <mc:AlternateContent>
          <mc:Choice Requires="wps">
            <w:drawing>
              <wp:anchor distT="45720" distB="45720" distL="114300" distR="114300" simplePos="0" relativeHeight="251666432" behindDoc="0" locked="0" layoutInCell="1" allowOverlap="1" wp14:anchorId="40C96695" wp14:editId="09713442">
                <wp:simplePos x="0" y="0"/>
                <wp:positionH relativeFrom="column">
                  <wp:posOffset>3996055</wp:posOffset>
                </wp:positionH>
                <wp:positionV relativeFrom="paragraph">
                  <wp:posOffset>541020</wp:posOffset>
                </wp:positionV>
                <wp:extent cx="847725" cy="1404620"/>
                <wp:effectExtent l="0" t="0" r="28575" b="1016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solidFill>
                          <a:srgbClr val="FFFFFF"/>
                        </a:solidFill>
                        <a:ln w="9525">
                          <a:solidFill>
                            <a:srgbClr val="000000"/>
                          </a:solidFill>
                          <a:miter lim="800000"/>
                          <a:headEnd/>
                          <a:tailEnd/>
                        </a:ln>
                      </wps:spPr>
                      <wps:txbx>
                        <w:txbxContent>
                          <w:p w:rsidR="00041496" w:rsidRDefault="00041496">
                            <w:r>
                              <w:t>P &lt;0.0001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vak 2" o:spid="_x0000_s1033" type="#_x0000_t202" style="position:absolute;left:0;text-align:left;margin-left:314.65pt;margin-top:42.6pt;width:6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">
                <v:textbox style="mso-fit-shape-to-text:t">
                  <w:txbxContent>
                    <w:p w:rsidR="00041496" w:rsidRDefault="00041496">
                      <w:r>
                        <w:t>P &lt;0.0001</w:t>
                      </w:r>
                    </w:p>
                  </w:txbxContent>
                </v:textbox>
              </v:shape>
            </w:pict>
          </mc:Fallback>
        </mc:AlternateContent>
      </w:r>
      <w:r>
        <w:rPr>
          <w:rFonts w:ascii="Comic Sans MS" w:hAnsi="Comic Sans MS"/>
          <w:noProof/>
          <w:sz w:val="22"/>
          <w:szCs w:val="22"/>
          <w:lang w:val="en-GB" w:eastAsia="en-GB"/>
        </w:rPr>
        <w:drawing>
          <wp:inline distT="0" distB="0" distL="0" distR="0" wp14:anchorId="56EE6F17" wp14:editId="14289827">
            <wp:extent cx="5486400" cy="320040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3066" w:rsidRDefault="00303066" w:rsidP="008D05F5">
      <w:pPr>
        <w:jc w:val="both"/>
        <w:rPr>
          <w:rFonts w:ascii="Comic Sans MS" w:hAnsi="Comic Sans MS"/>
          <w:sz w:val="22"/>
          <w:szCs w:val="22"/>
          <w:lang w:val="en-GB"/>
        </w:rPr>
      </w:pPr>
    </w:p>
    <w:p w:rsidR="00303066" w:rsidRDefault="00303066" w:rsidP="008D05F5">
      <w:pPr>
        <w:jc w:val="both"/>
        <w:rPr>
          <w:rFonts w:ascii="Comic Sans MS" w:hAnsi="Comic Sans MS"/>
          <w:sz w:val="22"/>
          <w:szCs w:val="22"/>
          <w:lang w:val="en-GB"/>
        </w:rPr>
      </w:pPr>
    </w:p>
    <w:p w:rsidR="00303066" w:rsidRDefault="00303066" w:rsidP="008D05F5">
      <w:pPr>
        <w:jc w:val="both"/>
        <w:rPr>
          <w:rFonts w:ascii="Comic Sans MS" w:hAnsi="Comic Sans MS"/>
          <w:sz w:val="22"/>
          <w:szCs w:val="22"/>
          <w:lang w:val="en-GB"/>
        </w:rPr>
      </w:pPr>
      <w:r>
        <w:rPr>
          <w:rFonts w:ascii="Comic Sans MS" w:hAnsi="Comic Sans MS"/>
          <w:sz w:val="22"/>
          <w:szCs w:val="22"/>
          <w:lang w:val="en-GB"/>
        </w:rPr>
        <w:t>The relation between quality adherence and mortality persisted also after correction for baseline risk profile.</w:t>
      </w:r>
      <w:r w:rsidR="000C25D9">
        <w:rPr>
          <w:rFonts w:ascii="Comic Sans MS" w:hAnsi="Comic Sans MS"/>
          <w:sz w:val="22"/>
          <w:szCs w:val="22"/>
          <w:lang w:val="en-GB"/>
        </w:rPr>
        <w:t xml:space="preserve"> Adjusted mortality risk</w:t>
      </w:r>
      <w:r w:rsidR="00982BA1">
        <w:rPr>
          <w:rFonts w:ascii="Comic Sans MS" w:hAnsi="Comic Sans MS"/>
          <w:sz w:val="22"/>
          <w:szCs w:val="22"/>
          <w:lang w:val="en-GB"/>
        </w:rPr>
        <w:t xml:space="preserve"> ratio</w:t>
      </w:r>
      <w:r w:rsidR="000C25D9">
        <w:rPr>
          <w:rFonts w:ascii="Comic Sans MS" w:hAnsi="Comic Sans MS"/>
          <w:sz w:val="22"/>
          <w:szCs w:val="22"/>
          <w:lang w:val="en-GB"/>
        </w:rPr>
        <w:t xml:space="preserve"> was  1.2</w:t>
      </w:r>
      <w:r w:rsidR="00B813EF">
        <w:rPr>
          <w:rFonts w:ascii="Comic Sans MS" w:hAnsi="Comic Sans MS"/>
          <w:sz w:val="22"/>
          <w:szCs w:val="22"/>
          <w:lang w:val="en-GB"/>
        </w:rPr>
        <w:t>6 (95% CI 1.15-1.36)</w:t>
      </w:r>
      <w:r w:rsidR="000C25D9">
        <w:rPr>
          <w:rFonts w:ascii="Comic Sans MS" w:hAnsi="Comic Sans MS"/>
          <w:sz w:val="22"/>
          <w:szCs w:val="22"/>
          <w:lang w:val="en-GB"/>
        </w:rPr>
        <w:t xml:space="preserve"> for each decrease of the global risk score by 1 point. </w:t>
      </w:r>
      <w:r>
        <w:rPr>
          <w:rFonts w:ascii="Comic Sans MS" w:hAnsi="Comic Sans MS"/>
          <w:sz w:val="22"/>
          <w:szCs w:val="22"/>
          <w:lang w:val="en-GB"/>
        </w:rPr>
        <w:t xml:space="preserve"> Logistic regression analysis </w:t>
      </w:r>
      <w:r w:rsidR="000C25D9">
        <w:rPr>
          <w:rFonts w:ascii="Comic Sans MS" w:hAnsi="Comic Sans MS"/>
          <w:sz w:val="22"/>
          <w:szCs w:val="22"/>
          <w:lang w:val="en-GB"/>
        </w:rPr>
        <w:t xml:space="preserve">with the individual quality indicators </w:t>
      </w:r>
      <w:r>
        <w:rPr>
          <w:rFonts w:ascii="Comic Sans MS" w:hAnsi="Comic Sans MS"/>
          <w:sz w:val="22"/>
          <w:szCs w:val="22"/>
          <w:lang w:val="en-GB"/>
        </w:rPr>
        <w:t xml:space="preserve">revealed that door-to-balloon </w:t>
      </w:r>
      <w:r w:rsidR="000C25D9">
        <w:rPr>
          <w:rFonts w:ascii="Comic Sans MS" w:hAnsi="Comic Sans MS"/>
          <w:sz w:val="22"/>
          <w:szCs w:val="22"/>
          <w:lang w:val="en-GB"/>
        </w:rPr>
        <w:t>was</w:t>
      </w:r>
      <w:r>
        <w:rPr>
          <w:rFonts w:ascii="Comic Sans MS" w:hAnsi="Comic Sans MS"/>
          <w:sz w:val="22"/>
          <w:szCs w:val="22"/>
          <w:lang w:val="en-GB"/>
        </w:rPr>
        <w:t xml:space="preserve"> a </w:t>
      </w:r>
      <w:r w:rsidR="00B813EF">
        <w:rPr>
          <w:rFonts w:ascii="Comic Sans MS" w:hAnsi="Comic Sans MS"/>
          <w:sz w:val="22"/>
          <w:szCs w:val="22"/>
          <w:lang w:val="en-GB"/>
        </w:rPr>
        <w:t>more powerful</w:t>
      </w:r>
      <w:r>
        <w:rPr>
          <w:rFonts w:ascii="Comic Sans MS" w:hAnsi="Comic Sans MS"/>
          <w:sz w:val="22"/>
          <w:szCs w:val="22"/>
          <w:lang w:val="en-GB"/>
        </w:rPr>
        <w:t xml:space="preserve"> predictor</w:t>
      </w:r>
      <w:r w:rsidR="000C25D9">
        <w:rPr>
          <w:rFonts w:ascii="Comic Sans MS" w:hAnsi="Comic Sans MS"/>
          <w:sz w:val="22"/>
          <w:szCs w:val="22"/>
          <w:lang w:val="en-GB"/>
        </w:rPr>
        <w:t xml:space="preserve"> for mortality</w:t>
      </w:r>
      <w:r w:rsidR="00B813EF">
        <w:rPr>
          <w:rFonts w:ascii="Comic Sans MS" w:hAnsi="Comic Sans MS"/>
          <w:sz w:val="22"/>
          <w:szCs w:val="22"/>
          <w:lang w:val="en-GB"/>
        </w:rPr>
        <w:t xml:space="preserve"> than</w:t>
      </w:r>
      <w:r>
        <w:rPr>
          <w:rFonts w:ascii="Comic Sans MS" w:hAnsi="Comic Sans MS"/>
          <w:sz w:val="22"/>
          <w:szCs w:val="22"/>
          <w:lang w:val="en-GB"/>
        </w:rPr>
        <w:t xml:space="preserve"> diagnosis-to-balloon time (see table 2)</w:t>
      </w:r>
      <w:r w:rsidR="000C25D9">
        <w:rPr>
          <w:rFonts w:ascii="Comic Sans MS" w:hAnsi="Comic Sans MS"/>
          <w:sz w:val="22"/>
          <w:szCs w:val="22"/>
          <w:lang w:val="en-GB"/>
        </w:rPr>
        <w:t>.</w:t>
      </w:r>
    </w:p>
    <w:p w:rsidR="00303066" w:rsidRDefault="00303066" w:rsidP="008D05F5">
      <w:pPr>
        <w:jc w:val="both"/>
        <w:rPr>
          <w:rFonts w:ascii="Comic Sans MS" w:hAnsi="Comic Sans MS"/>
          <w:sz w:val="22"/>
          <w:szCs w:val="22"/>
          <w:lang w:val="en-GB"/>
        </w:rPr>
      </w:pPr>
    </w:p>
    <w:tbl>
      <w:tblPr>
        <w:tblStyle w:val="GridTable4Accent1"/>
        <w:tblW w:w="0" w:type="auto"/>
        <w:tblLook w:val="04A0" w:firstRow="1" w:lastRow="0" w:firstColumn="1" w:lastColumn="0" w:noHBand="0" w:noVBand="1"/>
      </w:tblPr>
      <w:tblGrid>
        <w:gridCol w:w="3397"/>
        <w:gridCol w:w="1560"/>
        <w:gridCol w:w="2409"/>
        <w:gridCol w:w="2030"/>
      </w:tblGrid>
      <w:tr w:rsidR="005E41D4" w:rsidTr="005E4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p>
        </w:tc>
        <w:tc>
          <w:tcPr>
            <w:tcW w:w="1560" w:type="dxa"/>
          </w:tcPr>
          <w:p w:rsidR="005E41D4" w:rsidRDefault="005E41D4" w:rsidP="008D05F5">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Odds ratio</w:t>
            </w:r>
          </w:p>
        </w:tc>
        <w:tc>
          <w:tcPr>
            <w:tcW w:w="2409" w:type="dxa"/>
          </w:tcPr>
          <w:p w:rsidR="005E41D4" w:rsidRDefault="005E41D4" w:rsidP="008D05F5">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95% CI</w:t>
            </w:r>
          </w:p>
        </w:tc>
        <w:tc>
          <w:tcPr>
            <w:tcW w:w="2030" w:type="dxa"/>
          </w:tcPr>
          <w:p w:rsidR="005E41D4" w:rsidRDefault="005E41D4" w:rsidP="008D05F5">
            <w:pPr>
              <w:jc w:val="both"/>
              <w:cnfStyle w:val="100000000000" w:firstRow="1"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P value</w:t>
            </w:r>
          </w:p>
        </w:tc>
      </w:tr>
      <w:tr w:rsidR="005E41D4" w:rsidTr="005E4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r>
              <w:rPr>
                <w:rFonts w:ascii="Comic Sans MS" w:hAnsi="Comic Sans MS"/>
                <w:sz w:val="22"/>
                <w:szCs w:val="22"/>
                <w:lang w:val="en-GB"/>
              </w:rPr>
              <w:t>Timi risk score</w:t>
            </w:r>
          </w:p>
        </w:tc>
        <w:tc>
          <w:tcPr>
            <w:tcW w:w="156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1.58</w:t>
            </w:r>
          </w:p>
        </w:tc>
        <w:tc>
          <w:tcPr>
            <w:tcW w:w="2409"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1.51-1.66</w:t>
            </w:r>
          </w:p>
        </w:tc>
        <w:tc>
          <w:tcPr>
            <w:tcW w:w="203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&lt;0.0001</w:t>
            </w:r>
          </w:p>
        </w:tc>
      </w:tr>
      <w:tr w:rsidR="005E41D4" w:rsidTr="005E41D4">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r>
              <w:rPr>
                <w:rFonts w:ascii="Comic Sans MS" w:hAnsi="Comic Sans MS"/>
                <w:sz w:val="22"/>
                <w:szCs w:val="22"/>
                <w:lang w:val="en-GB"/>
              </w:rPr>
              <w:t>Cardiac arrest</w:t>
            </w:r>
          </w:p>
        </w:tc>
        <w:tc>
          <w:tcPr>
            <w:tcW w:w="1560"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9.0</w:t>
            </w:r>
          </w:p>
        </w:tc>
        <w:tc>
          <w:tcPr>
            <w:tcW w:w="2409"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6.9-11.7</w:t>
            </w:r>
          </w:p>
        </w:tc>
        <w:tc>
          <w:tcPr>
            <w:tcW w:w="2030"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&lt;0.0001</w:t>
            </w:r>
          </w:p>
        </w:tc>
      </w:tr>
      <w:tr w:rsidR="005E41D4" w:rsidTr="005E4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r>
              <w:rPr>
                <w:rFonts w:ascii="Comic Sans MS" w:hAnsi="Comic Sans MS"/>
                <w:sz w:val="22"/>
                <w:szCs w:val="22"/>
                <w:lang w:val="en-GB"/>
              </w:rPr>
              <w:t>Diagnose to balloon time</w:t>
            </w:r>
            <w:r w:rsidR="00A40DAA">
              <w:rPr>
                <w:rFonts w:ascii="Comic Sans MS" w:hAnsi="Comic Sans MS"/>
                <w:sz w:val="22"/>
                <w:szCs w:val="22"/>
                <w:lang w:val="en-GB"/>
              </w:rPr>
              <w:t>, min</w:t>
            </w:r>
          </w:p>
        </w:tc>
        <w:tc>
          <w:tcPr>
            <w:tcW w:w="156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1.002</w:t>
            </w:r>
          </w:p>
        </w:tc>
        <w:tc>
          <w:tcPr>
            <w:tcW w:w="2409"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1.0003-1.0038</w:t>
            </w:r>
          </w:p>
        </w:tc>
        <w:tc>
          <w:tcPr>
            <w:tcW w:w="203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0.02</w:t>
            </w:r>
          </w:p>
        </w:tc>
      </w:tr>
      <w:tr w:rsidR="005E41D4" w:rsidTr="005E41D4">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r>
              <w:rPr>
                <w:rFonts w:ascii="Comic Sans MS" w:hAnsi="Comic Sans MS"/>
                <w:sz w:val="22"/>
                <w:szCs w:val="22"/>
                <w:lang w:val="en-GB"/>
              </w:rPr>
              <w:t>Door to balloon time</w:t>
            </w:r>
            <w:r w:rsidR="00A40DAA">
              <w:rPr>
                <w:rFonts w:ascii="Comic Sans MS" w:hAnsi="Comic Sans MS"/>
                <w:sz w:val="22"/>
                <w:szCs w:val="22"/>
                <w:lang w:val="en-GB"/>
              </w:rPr>
              <w:t>,min</w:t>
            </w:r>
          </w:p>
        </w:tc>
        <w:tc>
          <w:tcPr>
            <w:tcW w:w="1560"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1.0036</w:t>
            </w:r>
          </w:p>
        </w:tc>
        <w:tc>
          <w:tcPr>
            <w:tcW w:w="2409"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1.0013-1.0059</w:t>
            </w:r>
          </w:p>
        </w:tc>
        <w:tc>
          <w:tcPr>
            <w:tcW w:w="2030" w:type="dxa"/>
          </w:tcPr>
          <w:p w:rsidR="005E41D4" w:rsidRDefault="00A40DAA" w:rsidP="00A40DAA">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0.002</w:t>
            </w:r>
          </w:p>
        </w:tc>
      </w:tr>
      <w:tr w:rsidR="005E41D4" w:rsidTr="005E4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5E41D4" w:rsidRDefault="005E41D4" w:rsidP="008D05F5">
            <w:pPr>
              <w:jc w:val="both"/>
              <w:rPr>
                <w:rFonts w:ascii="Comic Sans MS" w:hAnsi="Comic Sans MS"/>
                <w:sz w:val="22"/>
                <w:szCs w:val="22"/>
                <w:lang w:val="en-GB"/>
              </w:rPr>
            </w:pPr>
            <w:r>
              <w:rPr>
                <w:rFonts w:ascii="Comic Sans MS" w:hAnsi="Comic Sans MS"/>
                <w:sz w:val="22"/>
                <w:szCs w:val="22"/>
                <w:lang w:val="en-GB"/>
              </w:rPr>
              <w:t>No reperfusion</w:t>
            </w:r>
          </w:p>
        </w:tc>
        <w:tc>
          <w:tcPr>
            <w:tcW w:w="156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7.4</w:t>
            </w:r>
          </w:p>
        </w:tc>
        <w:tc>
          <w:tcPr>
            <w:tcW w:w="2409"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2.9-18.2</w:t>
            </w:r>
          </w:p>
        </w:tc>
        <w:tc>
          <w:tcPr>
            <w:tcW w:w="2030" w:type="dxa"/>
          </w:tcPr>
          <w:p w:rsidR="005E41D4" w:rsidRDefault="00A40DAA" w:rsidP="00A40DAA">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sz w:val="22"/>
                <w:szCs w:val="22"/>
                <w:lang w:val="en-GB"/>
              </w:rPr>
            </w:pPr>
            <w:r>
              <w:rPr>
                <w:rFonts w:ascii="Comic Sans MS" w:hAnsi="Comic Sans MS"/>
                <w:sz w:val="22"/>
                <w:szCs w:val="22"/>
                <w:lang w:val="en-GB"/>
              </w:rPr>
              <w:t>&lt;0.0001</w:t>
            </w:r>
          </w:p>
        </w:tc>
      </w:tr>
    </w:tbl>
    <w:p w:rsidR="00303066" w:rsidRDefault="00303066" w:rsidP="008D05F5">
      <w:pPr>
        <w:jc w:val="both"/>
        <w:rPr>
          <w:rFonts w:ascii="Comic Sans MS" w:hAnsi="Comic Sans MS"/>
          <w:sz w:val="22"/>
          <w:szCs w:val="22"/>
          <w:lang w:val="en-GB"/>
        </w:rPr>
      </w:pPr>
    </w:p>
    <w:p w:rsidR="00303066" w:rsidRPr="008D05F5" w:rsidRDefault="00303066" w:rsidP="008D05F5">
      <w:pPr>
        <w:jc w:val="both"/>
        <w:rPr>
          <w:rFonts w:ascii="Comic Sans MS" w:hAnsi="Comic Sans MS"/>
          <w:sz w:val="22"/>
          <w:szCs w:val="22"/>
          <w:lang w:val="en-GB"/>
        </w:rPr>
      </w:pPr>
    </w:p>
    <w:p w:rsidR="002D7288" w:rsidRDefault="002D7288" w:rsidP="002D7288">
      <w:pPr>
        <w:jc w:val="both"/>
        <w:rPr>
          <w:rFonts w:ascii="Comic Sans MS" w:hAnsi="Comic Sans MS"/>
          <w:sz w:val="22"/>
          <w:szCs w:val="22"/>
          <w:lang w:val="en-GB"/>
        </w:rPr>
      </w:pPr>
    </w:p>
    <w:p w:rsidR="002D7288" w:rsidRDefault="002D7288" w:rsidP="002D7288">
      <w:pPr>
        <w:jc w:val="both"/>
        <w:rPr>
          <w:rFonts w:ascii="Comic Sans MS" w:hAnsi="Comic Sans MS"/>
          <w:sz w:val="22"/>
          <w:szCs w:val="22"/>
          <w:lang w:val="en-GB"/>
        </w:rPr>
      </w:pPr>
    </w:p>
    <w:p w:rsidR="002D7288" w:rsidRDefault="002D7288" w:rsidP="002D7288">
      <w:pPr>
        <w:jc w:val="both"/>
        <w:rPr>
          <w:rFonts w:ascii="Comic Sans MS" w:hAnsi="Comic Sans MS"/>
          <w:i/>
          <w:sz w:val="22"/>
          <w:szCs w:val="22"/>
          <w:lang w:val="en-US"/>
        </w:rPr>
      </w:pPr>
    </w:p>
    <w:p w:rsidR="002D7288" w:rsidRDefault="002D7288" w:rsidP="002D7288">
      <w:pPr>
        <w:jc w:val="both"/>
        <w:rPr>
          <w:rFonts w:ascii="Comic Sans MS" w:hAnsi="Comic Sans MS"/>
          <w:bCs/>
          <w:sz w:val="22"/>
          <w:szCs w:val="22"/>
          <w:lang w:val="en-GB"/>
        </w:rPr>
      </w:pPr>
    </w:p>
    <w:p w:rsidR="00DF6BA3" w:rsidRDefault="00DF6BA3" w:rsidP="002D7288">
      <w:pPr>
        <w:rPr>
          <w:rFonts w:ascii="Comic Sans MS" w:hAnsi="Comic Sans MS"/>
          <w:bCs/>
          <w:i/>
          <w:sz w:val="22"/>
          <w:szCs w:val="22"/>
          <w:lang w:val="en-GB"/>
        </w:rPr>
      </w:pPr>
    </w:p>
    <w:p w:rsidR="002D7288" w:rsidRDefault="002D7288" w:rsidP="002D7288">
      <w:pPr>
        <w:jc w:val="both"/>
        <w:rPr>
          <w:rFonts w:ascii="Comic Sans MS" w:hAnsi="Comic Sans MS"/>
          <w:b/>
          <w:bCs/>
          <w:sz w:val="22"/>
          <w:szCs w:val="22"/>
          <w:u w:val="single"/>
          <w:lang w:val="en-GB"/>
        </w:rPr>
      </w:pPr>
    </w:p>
    <w:p w:rsidR="002D7288" w:rsidRDefault="002D7288" w:rsidP="002D7288">
      <w:pPr>
        <w:jc w:val="both"/>
        <w:rPr>
          <w:rFonts w:ascii="Comic Sans MS" w:hAnsi="Comic Sans MS"/>
          <w:b/>
          <w:bCs/>
          <w:sz w:val="22"/>
          <w:szCs w:val="22"/>
          <w:u w:val="single"/>
          <w:lang w:val="en-GB"/>
        </w:rPr>
      </w:pPr>
      <w:r w:rsidRPr="009B65DB">
        <w:rPr>
          <w:rFonts w:ascii="Comic Sans MS" w:hAnsi="Comic Sans MS"/>
          <w:b/>
          <w:bCs/>
          <w:sz w:val="22"/>
          <w:szCs w:val="22"/>
          <w:u w:val="single"/>
          <w:lang w:val="en-GB"/>
        </w:rPr>
        <w:t>DISCUSSION</w:t>
      </w:r>
      <w:r>
        <w:rPr>
          <w:rFonts w:ascii="Comic Sans MS" w:hAnsi="Comic Sans MS"/>
          <w:b/>
          <w:bCs/>
          <w:sz w:val="22"/>
          <w:szCs w:val="22"/>
          <w:u w:val="single"/>
          <w:lang w:val="en-GB"/>
        </w:rPr>
        <w:t xml:space="preserve"> and CONCLUSIONS</w:t>
      </w:r>
    </w:p>
    <w:p w:rsidR="002D7288" w:rsidRPr="009B65DB" w:rsidRDefault="002D7288" w:rsidP="002D7288">
      <w:pPr>
        <w:jc w:val="both"/>
        <w:rPr>
          <w:rFonts w:ascii="Comic Sans MS" w:hAnsi="Comic Sans MS"/>
          <w:b/>
          <w:bCs/>
          <w:sz w:val="22"/>
          <w:szCs w:val="22"/>
          <w:u w:val="single"/>
          <w:lang w:val="en-GB"/>
        </w:rPr>
      </w:pPr>
    </w:p>
    <w:p w:rsidR="00982BA1" w:rsidRDefault="00292C69" w:rsidP="00292995">
      <w:pPr>
        <w:jc w:val="both"/>
        <w:rPr>
          <w:rFonts w:ascii="Comic Sans MS" w:hAnsi="Comic Sans MS"/>
          <w:sz w:val="22"/>
          <w:szCs w:val="22"/>
          <w:lang w:val="en-GB"/>
        </w:rPr>
      </w:pPr>
      <w:r>
        <w:rPr>
          <w:rFonts w:ascii="Comic Sans MS" w:hAnsi="Comic Sans MS"/>
          <w:sz w:val="22"/>
          <w:szCs w:val="22"/>
          <w:lang w:val="en-GB"/>
        </w:rPr>
        <w:t xml:space="preserve"> </w:t>
      </w:r>
      <w:r w:rsidR="00292995">
        <w:rPr>
          <w:rFonts w:ascii="Comic Sans MS" w:hAnsi="Comic Sans MS"/>
          <w:sz w:val="22"/>
          <w:szCs w:val="22"/>
          <w:lang w:val="en-GB"/>
        </w:rPr>
        <w:t xml:space="preserve">The present report describes the </w:t>
      </w:r>
      <w:r w:rsidR="00982BA1">
        <w:rPr>
          <w:rFonts w:ascii="Comic Sans MS" w:hAnsi="Comic Sans MS"/>
          <w:sz w:val="22"/>
          <w:szCs w:val="22"/>
          <w:lang w:val="en-GB"/>
        </w:rPr>
        <w:t>relation between adherence to quality indicators and in hospital mortality in patients admitted with STEMI in the Belgian hospitals.</w:t>
      </w:r>
    </w:p>
    <w:p w:rsidR="00292C69" w:rsidRDefault="00292C69" w:rsidP="00292C69">
      <w:pPr>
        <w:jc w:val="both"/>
        <w:rPr>
          <w:rFonts w:ascii="Comic Sans MS" w:hAnsi="Comic Sans MS"/>
          <w:bCs/>
          <w:sz w:val="22"/>
          <w:szCs w:val="22"/>
          <w:lang w:val="en-GB"/>
        </w:rPr>
      </w:pPr>
      <w:r w:rsidRPr="00292C69">
        <w:rPr>
          <w:rFonts w:ascii="Comic Sans MS" w:hAnsi="Comic Sans MS"/>
          <w:sz w:val="22"/>
          <w:szCs w:val="22"/>
          <w:lang w:val="en-GB"/>
        </w:rPr>
        <w:t>We could demonstrate</w:t>
      </w:r>
      <w:r w:rsidR="008F2F51">
        <w:rPr>
          <w:rFonts w:ascii="Comic Sans MS" w:hAnsi="Comic Sans MS"/>
          <w:sz w:val="22"/>
          <w:szCs w:val="22"/>
          <w:lang w:val="en-GB"/>
        </w:rPr>
        <w:t>,</w:t>
      </w:r>
      <w:r w:rsidRPr="00292C69">
        <w:rPr>
          <w:rFonts w:ascii="Comic Sans MS" w:hAnsi="Comic Sans MS"/>
          <w:sz w:val="22"/>
          <w:szCs w:val="22"/>
          <w:lang w:val="en-GB"/>
        </w:rPr>
        <w:t xml:space="preserve"> for the first time</w:t>
      </w:r>
      <w:r w:rsidR="008F2F51">
        <w:rPr>
          <w:rFonts w:ascii="Comic Sans MS" w:hAnsi="Comic Sans MS"/>
          <w:sz w:val="22"/>
          <w:szCs w:val="22"/>
          <w:lang w:val="en-GB"/>
        </w:rPr>
        <w:t>,</w:t>
      </w:r>
      <w:r w:rsidRPr="00292C69">
        <w:rPr>
          <w:rFonts w:ascii="Comic Sans MS" w:hAnsi="Comic Sans MS"/>
          <w:sz w:val="22"/>
          <w:szCs w:val="22"/>
          <w:lang w:val="en-GB"/>
        </w:rPr>
        <w:t xml:space="preserve"> that mortality more than doubles in patients with a poor quality adherence as compared to patien</w:t>
      </w:r>
      <w:r>
        <w:rPr>
          <w:rFonts w:ascii="Comic Sans MS" w:hAnsi="Comic Sans MS"/>
          <w:sz w:val="22"/>
          <w:szCs w:val="22"/>
          <w:lang w:val="en-GB"/>
        </w:rPr>
        <w:t xml:space="preserve">ts with good quality adherence </w:t>
      </w:r>
      <w:r w:rsidRPr="00292C69">
        <w:rPr>
          <w:rFonts w:ascii="Comic Sans MS" w:hAnsi="Comic Sans MS"/>
          <w:sz w:val="22"/>
          <w:szCs w:val="22"/>
          <w:lang w:val="en-GB"/>
        </w:rPr>
        <w:t>(5.2 vs 12.2%) also after correction of baseline risk profile. In the present study 2/3</w:t>
      </w:r>
      <w:r w:rsidR="008F2F51">
        <w:rPr>
          <w:rFonts w:ascii="Comic Sans MS" w:hAnsi="Comic Sans MS"/>
          <w:sz w:val="22"/>
          <w:szCs w:val="22"/>
          <w:lang w:val="en-GB"/>
        </w:rPr>
        <w:t xml:space="preserve"> </w:t>
      </w:r>
      <w:r w:rsidRPr="00292C69">
        <w:rPr>
          <w:rFonts w:ascii="Comic Sans MS" w:hAnsi="Comic Sans MS"/>
          <w:sz w:val="22"/>
          <w:szCs w:val="22"/>
          <w:lang w:val="en-GB"/>
        </w:rPr>
        <w:t xml:space="preserve">of our patients received adequate reperfusion therapy within recommended timelines (PPCI within 90 minutes after diagnosis and within 60 min after arrival in the PCI centre). It can be expected that the global mortality in Belgium  will further decrease if recommended optimal reperfusion therapy is offered to </w:t>
      </w:r>
      <w:r>
        <w:rPr>
          <w:rFonts w:ascii="Comic Sans MS" w:hAnsi="Comic Sans MS"/>
          <w:sz w:val="22"/>
          <w:szCs w:val="22"/>
          <w:lang w:val="en-GB"/>
        </w:rPr>
        <w:t xml:space="preserve">all our STEMI patients. Whereas </w:t>
      </w:r>
      <w:r w:rsidRPr="00292C69">
        <w:rPr>
          <w:rFonts w:ascii="Comic Sans MS" w:hAnsi="Comic Sans MS"/>
          <w:sz w:val="22"/>
          <w:szCs w:val="22"/>
          <w:lang w:val="en-GB"/>
        </w:rPr>
        <w:t xml:space="preserve"> pPCI has already a high penetration rate (&gt;90%) in our country, still many patients have prolonged diagnosis to treatment times because of suboptimal  transfer policy and/or because of suboptimal internal organisation within the PCI centre.  The most optimal transfer policy is the direct transfer of STEMI patients (from home or from community hospital) to t</w:t>
      </w:r>
      <w:r>
        <w:rPr>
          <w:rFonts w:ascii="Comic Sans MS" w:hAnsi="Comic Sans MS"/>
          <w:sz w:val="22"/>
          <w:szCs w:val="22"/>
          <w:lang w:val="en-GB"/>
        </w:rPr>
        <w:t xml:space="preserve">he nearest PCI capable hospital with </w:t>
      </w:r>
      <w:r>
        <w:rPr>
          <w:rFonts w:ascii="Comic Sans MS" w:hAnsi="Comic Sans MS"/>
          <w:bCs/>
          <w:sz w:val="22"/>
          <w:szCs w:val="22"/>
          <w:lang w:val="en-GB"/>
        </w:rPr>
        <w:t>early</w:t>
      </w:r>
      <w:r w:rsidRPr="00F1563F">
        <w:rPr>
          <w:rFonts w:ascii="Comic Sans MS" w:hAnsi="Comic Sans MS"/>
          <w:bCs/>
          <w:sz w:val="22"/>
          <w:szCs w:val="22"/>
          <w:lang w:val="en-GB"/>
        </w:rPr>
        <w:t xml:space="preserve"> notification of the catheterisation laboratory team</w:t>
      </w:r>
      <w:r>
        <w:rPr>
          <w:rFonts w:ascii="Comic Sans MS" w:hAnsi="Comic Sans MS"/>
          <w:bCs/>
          <w:sz w:val="22"/>
          <w:szCs w:val="22"/>
          <w:lang w:val="en-GB"/>
        </w:rPr>
        <w:t>, preferentially</w:t>
      </w:r>
      <w:r w:rsidRPr="00F1563F">
        <w:rPr>
          <w:rFonts w:ascii="Comic Sans MS" w:hAnsi="Comic Sans MS"/>
          <w:bCs/>
          <w:sz w:val="22"/>
          <w:szCs w:val="22"/>
          <w:lang w:val="en-GB"/>
        </w:rPr>
        <w:t xml:space="preserve"> by EMS</w:t>
      </w:r>
      <w:r>
        <w:rPr>
          <w:rFonts w:ascii="Comic Sans MS" w:hAnsi="Comic Sans MS"/>
          <w:bCs/>
          <w:sz w:val="22"/>
          <w:szCs w:val="22"/>
          <w:lang w:val="en-GB"/>
        </w:rPr>
        <w:t xml:space="preserve"> and direct transfer to the cath lab, bypassing the emergency room.</w:t>
      </w:r>
    </w:p>
    <w:p w:rsidR="00292C69" w:rsidRDefault="00292C69" w:rsidP="00292C69">
      <w:pPr>
        <w:jc w:val="both"/>
        <w:rPr>
          <w:rFonts w:ascii="Comic Sans MS" w:hAnsi="Comic Sans MS"/>
          <w:bCs/>
          <w:sz w:val="22"/>
          <w:szCs w:val="22"/>
          <w:lang w:val="en-GB"/>
        </w:rPr>
      </w:pPr>
    </w:p>
    <w:p w:rsidR="00292C69" w:rsidRDefault="00292C69" w:rsidP="00292C69">
      <w:pPr>
        <w:jc w:val="both"/>
        <w:rPr>
          <w:rFonts w:ascii="Comic Sans MS" w:hAnsi="Comic Sans MS"/>
          <w:bCs/>
          <w:sz w:val="22"/>
          <w:szCs w:val="22"/>
          <w:lang w:val="en-GB"/>
        </w:rPr>
      </w:pPr>
      <w:r>
        <w:rPr>
          <w:rFonts w:ascii="Comic Sans MS" w:hAnsi="Comic Sans MS"/>
          <w:bCs/>
          <w:sz w:val="22"/>
          <w:szCs w:val="22"/>
          <w:lang w:val="en-GB"/>
        </w:rPr>
        <w:t>The present findings are in line with recent international studies</w:t>
      </w:r>
      <w:r w:rsidR="00041496">
        <w:rPr>
          <w:rFonts w:ascii="Comic Sans MS" w:hAnsi="Comic Sans MS"/>
          <w:bCs/>
          <w:sz w:val="22"/>
          <w:szCs w:val="22"/>
          <w:lang w:val="en-GB"/>
        </w:rPr>
        <w:t>. The study of Bebb et al demonstrate in a population of AMI (both STEMI and non-STEMI)</w:t>
      </w:r>
      <w:r w:rsidR="008F2F51">
        <w:rPr>
          <w:rFonts w:ascii="Comic Sans MS" w:hAnsi="Comic Sans MS"/>
          <w:bCs/>
          <w:sz w:val="22"/>
          <w:szCs w:val="22"/>
          <w:lang w:val="en-GB"/>
        </w:rPr>
        <w:t xml:space="preserve"> that </w:t>
      </w:r>
      <w:r w:rsidR="00041496">
        <w:rPr>
          <w:rFonts w:ascii="Comic Sans MS" w:hAnsi="Comic Sans MS"/>
          <w:bCs/>
          <w:sz w:val="22"/>
          <w:szCs w:val="22"/>
          <w:lang w:val="en-GB"/>
        </w:rPr>
        <w:t xml:space="preserve"> e</w:t>
      </w:r>
      <w:r w:rsidR="00041496" w:rsidRPr="00041496">
        <w:rPr>
          <w:rFonts w:ascii="Comic Sans MS" w:hAnsi="Comic Sans MS"/>
          <w:bCs/>
          <w:sz w:val="22"/>
          <w:szCs w:val="22"/>
          <w:lang w:val="en-GB"/>
        </w:rPr>
        <w:t>leven Qis</w:t>
      </w:r>
      <w:r w:rsidR="00041496">
        <w:rPr>
          <w:rFonts w:ascii="Comic Sans MS" w:hAnsi="Comic Sans MS"/>
          <w:bCs/>
          <w:sz w:val="22"/>
          <w:szCs w:val="22"/>
          <w:lang w:val="en-GB"/>
        </w:rPr>
        <w:t xml:space="preserve">, among them timely pPCI, </w:t>
      </w:r>
      <w:r w:rsidR="00041496" w:rsidRPr="00041496">
        <w:rPr>
          <w:rFonts w:ascii="Comic Sans MS" w:hAnsi="Comic Sans MS"/>
          <w:bCs/>
          <w:sz w:val="22"/>
          <w:szCs w:val="22"/>
          <w:lang w:val="en-GB"/>
        </w:rPr>
        <w:t xml:space="preserve"> were significantly inversely associated with 30-day mortality</w:t>
      </w:r>
      <w:r w:rsidR="00041496">
        <w:rPr>
          <w:rFonts w:ascii="Comic Sans MS" w:hAnsi="Comic Sans MS"/>
          <w:bCs/>
          <w:sz w:val="22"/>
          <w:szCs w:val="22"/>
          <w:lang w:val="en-GB"/>
        </w:rPr>
        <w:t xml:space="preserve">. Primary PCI performed within 60 min after arrival in the PCI centre was associated with 0.57 risk for 30-day mortality.  </w:t>
      </w:r>
    </w:p>
    <w:p w:rsidR="00041496" w:rsidRDefault="00041496" w:rsidP="00292C69">
      <w:pPr>
        <w:jc w:val="both"/>
        <w:rPr>
          <w:rFonts w:ascii="Comic Sans MS" w:hAnsi="Comic Sans MS"/>
          <w:bCs/>
          <w:sz w:val="22"/>
          <w:szCs w:val="22"/>
          <w:lang w:val="en-GB"/>
        </w:rPr>
      </w:pPr>
    </w:p>
    <w:p w:rsidR="00041496" w:rsidRDefault="00041496" w:rsidP="00292C69">
      <w:pPr>
        <w:jc w:val="both"/>
        <w:rPr>
          <w:rFonts w:ascii="Comic Sans MS" w:hAnsi="Comic Sans MS"/>
          <w:bCs/>
          <w:sz w:val="22"/>
          <w:szCs w:val="22"/>
          <w:lang w:val="en-GB"/>
        </w:rPr>
      </w:pPr>
      <w:r>
        <w:rPr>
          <w:rFonts w:ascii="Comic Sans MS" w:hAnsi="Comic Sans MS"/>
          <w:bCs/>
          <w:sz w:val="22"/>
          <w:szCs w:val="22"/>
          <w:lang w:val="en-GB"/>
        </w:rPr>
        <w:t>The present highlights also that patients in whom quality indicators were not adequately reported are more at high risk than patients with good reporting of quality indicators. Underreporting has been encountered in other international registries</w:t>
      </w:r>
      <w:r w:rsidR="00120590">
        <w:rPr>
          <w:rFonts w:ascii="Comic Sans MS" w:hAnsi="Comic Sans MS"/>
          <w:bCs/>
          <w:sz w:val="22"/>
          <w:szCs w:val="22"/>
          <w:lang w:val="en-GB"/>
        </w:rPr>
        <w:t xml:space="preserve"> and the study of </w:t>
      </w:r>
      <w:r>
        <w:rPr>
          <w:rFonts w:ascii="Comic Sans MS" w:hAnsi="Comic Sans MS"/>
          <w:bCs/>
          <w:sz w:val="22"/>
          <w:szCs w:val="22"/>
          <w:lang w:val="en-GB"/>
        </w:rPr>
        <w:t xml:space="preserve"> </w:t>
      </w:r>
      <w:r w:rsidR="005C00B6" w:rsidRPr="005C00B6">
        <w:rPr>
          <w:rFonts w:ascii="Comic Sans MS" w:hAnsi="Comic Sans MS"/>
          <w:bCs/>
          <w:sz w:val="22"/>
          <w:szCs w:val="22"/>
          <w:lang w:val="en-GB"/>
        </w:rPr>
        <w:t xml:space="preserve">McCabe </w:t>
      </w:r>
      <w:r w:rsidR="005C00B6">
        <w:rPr>
          <w:rFonts w:ascii="Comic Sans MS" w:hAnsi="Comic Sans MS"/>
          <w:bCs/>
          <w:sz w:val="22"/>
          <w:szCs w:val="22"/>
          <w:lang w:val="en-GB"/>
        </w:rPr>
        <w:t xml:space="preserve">et al could show </w:t>
      </w:r>
      <w:r w:rsidR="008F2F51">
        <w:rPr>
          <w:rFonts w:ascii="Comic Sans MS" w:hAnsi="Comic Sans MS"/>
          <w:bCs/>
          <w:sz w:val="22"/>
          <w:szCs w:val="22"/>
          <w:lang w:val="en-GB"/>
        </w:rPr>
        <w:t xml:space="preserve">that </w:t>
      </w:r>
      <w:r w:rsidR="005C00B6">
        <w:rPr>
          <w:rFonts w:ascii="Comic Sans MS" w:hAnsi="Comic Sans MS"/>
          <w:bCs/>
          <w:sz w:val="22"/>
          <w:szCs w:val="22"/>
          <w:lang w:val="en-GB"/>
        </w:rPr>
        <w:t>underreporting was associated not only with high risk patient profile but also with less adherence to recommended reperfusion</w:t>
      </w:r>
      <w:r w:rsidR="008F2F51">
        <w:rPr>
          <w:rFonts w:ascii="Comic Sans MS" w:hAnsi="Comic Sans MS"/>
          <w:bCs/>
          <w:sz w:val="22"/>
          <w:szCs w:val="22"/>
          <w:lang w:val="en-GB"/>
        </w:rPr>
        <w:t xml:space="preserve"> </w:t>
      </w:r>
      <w:r w:rsidR="005C00B6">
        <w:rPr>
          <w:rFonts w:ascii="Comic Sans MS" w:hAnsi="Comic Sans MS"/>
          <w:bCs/>
          <w:sz w:val="22"/>
          <w:szCs w:val="22"/>
          <w:lang w:val="en-GB"/>
        </w:rPr>
        <w:t xml:space="preserve">therapy. </w:t>
      </w:r>
    </w:p>
    <w:p w:rsidR="00041496" w:rsidRDefault="00041496" w:rsidP="00292C69">
      <w:pPr>
        <w:jc w:val="both"/>
        <w:rPr>
          <w:rFonts w:ascii="Comic Sans MS" w:hAnsi="Comic Sans MS"/>
          <w:bCs/>
          <w:sz w:val="22"/>
          <w:szCs w:val="22"/>
          <w:lang w:val="en-GB"/>
        </w:rPr>
      </w:pPr>
    </w:p>
    <w:p w:rsidR="00041496" w:rsidRDefault="00041496" w:rsidP="00292C69">
      <w:pPr>
        <w:jc w:val="both"/>
        <w:rPr>
          <w:rFonts w:ascii="Comic Sans MS" w:hAnsi="Comic Sans MS"/>
          <w:sz w:val="22"/>
          <w:szCs w:val="22"/>
          <w:lang w:val="en-GB"/>
        </w:rPr>
      </w:pPr>
    </w:p>
    <w:p w:rsidR="002D7288" w:rsidRDefault="002D7288" w:rsidP="005C00B6">
      <w:pPr>
        <w:jc w:val="both"/>
        <w:rPr>
          <w:rFonts w:ascii="Comic Sans MS" w:hAnsi="Comic Sans MS"/>
          <w:b/>
          <w:sz w:val="22"/>
          <w:szCs w:val="22"/>
          <w:u w:val="single"/>
          <w:lang w:val="en-GB"/>
        </w:rPr>
      </w:pPr>
      <w:r>
        <w:rPr>
          <w:rFonts w:ascii="Comic Sans MS" w:hAnsi="Comic Sans MS"/>
          <w:sz w:val="22"/>
          <w:szCs w:val="22"/>
          <w:lang w:val="en-GB"/>
        </w:rPr>
        <w:t xml:space="preserve">The present findings </w:t>
      </w:r>
      <w:r w:rsidR="00BD45A1">
        <w:rPr>
          <w:rFonts w:ascii="Comic Sans MS" w:hAnsi="Comic Sans MS"/>
          <w:sz w:val="22"/>
          <w:szCs w:val="22"/>
          <w:lang w:val="en-GB"/>
        </w:rPr>
        <w:t xml:space="preserve">will be communicated to the participating hospitals </w:t>
      </w:r>
      <w:r>
        <w:rPr>
          <w:rFonts w:ascii="Comic Sans MS" w:hAnsi="Comic Sans MS"/>
          <w:sz w:val="22"/>
          <w:szCs w:val="22"/>
          <w:lang w:val="en-GB"/>
        </w:rPr>
        <w:t>and are a strong argument to further monitor the quality of care of STEMI patients</w:t>
      </w:r>
      <w:r w:rsidR="005C00B6">
        <w:rPr>
          <w:rFonts w:ascii="Comic Sans MS" w:hAnsi="Comic Sans MS"/>
          <w:sz w:val="22"/>
          <w:szCs w:val="22"/>
          <w:lang w:val="en-GB"/>
        </w:rPr>
        <w:t xml:space="preserve">, particularly time delay indicators in all patients admitted in all Belgian hospitals. </w:t>
      </w:r>
    </w:p>
    <w:p w:rsidR="002D7288" w:rsidRDefault="002D7288" w:rsidP="002D7288">
      <w:pPr>
        <w:rPr>
          <w:rFonts w:ascii="Comic Sans MS" w:hAnsi="Comic Sans MS"/>
          <w:sz w:val="22"/>
          <w:szCs w:val="22"/>
          <w:u w:val="single"/>
          <w:lang w:val="en-GB"/>
        </w:rPr>
      </w:pPr>
    </w:p>
    <w:p w:rsidR="002D7288" w:rsidRDefault="002D7288" w:rsidP="002D7288">
      <w:pPr>
        <w:rPr>
          <w:rFonts w:ascii="Comic Sans MS" w:hAnsi="Comic Sans MS"/>
          <w:sz w:val="22"/>
          <w:szCs w:val="22"/>
          <w:u w:val="single"/>
          <w:lang w:val="en-GB"/>
        </w:rPr>
      </w:pPr>
    </w:p>
    <w:p w:rsidR="002D7288" w:rsidRDefault="002D7288" w:rsidP="002D7288">
      <w:pPr>
        <w:rPr>
          <w:rFonts w:ascii="Comic Sans MS" w:hAnsi="Comic Sans MS"/>
          <w:sz w:val="22"/>
          <w:szCs w:val="22"/>
          <w:u w:val="single"/>
          <w:lang w:val="en-GB"/>
        </w:rPr>
      </w:pPr>
      <w:r w:rsidRPr="00580F56">
        <w:rPr>
          <w:rFonts w:ascii="Comic Sans MS" w:hAnsi="Comic Sans MS"/>
          <w:sz w:val="22"/>
          <w:szCs w:val="22"/>
          <w:u w:val="single"/>
          <w:lang w:val="en-GB"/>
        </w:rPr>
        <w:t>Contact person</w:t>
      </w:r>
    </w:p>
    <w:p w:rsidR="002D7288" w:rsidRPr="00580F56" w:rsidRDefault="002D7288" w:rsidP="002D7288">
      <w:pPr>
        <w:rPr>
          <w:rFonts w:ascii="Comic Sans MS" w:hAnsi="Comic Sans MS"/>
          <w:sz w:val="22"/>
          <w:szCs w:val="22"/>
          <w:u w:val="single"/>
          <w:lang w:val="en-GB"/>
        </w:rPr>
      </w:pPr>
    </w:p>
    <w:p w:rsidR="002D7288" w:rsidRDefault="002D7288" w:rsidP="002D7288">
      <w:pPr>
        <w:rPr>
          <w:rFonts w:ascii="Comic Sans MS" w:hAnsi="Comic Sans MS"/>
          <w:lang w:val="en-GB"/>
        </w:rPr>
      </w:pPr>
      <w:r>
        <w:rPr>
          <w:rFonts w:ascii="Comic Sans MS" w:hAnsi="Comic Sans MS"/>
          <w:lang w:val="en-GB"/>
        </w:rPr>
        <w:t>On behalf of the steering committee</w:t>
      </w:r>
    </w:p>
    <w:p w:rsidR="002D7288" w:rsidRDefault="002D7288" w:rsidP="002D7288">
      <w:pPr>
        <w:rPr>
          <w:rFonts w:ascii="Comic Sans MS" w:hAnsi="Comic Sans MS"/>
          <w:sz w:val="22"/>
          <w:szCs w:val="22"/>
          <w:lang w:val="en-GB"/>
        </w:rPr>
      </w:pPr>
    </w:p>
    <w:p w:rsidR="002D7288" w:rsidRPr="006A35E1" w:rsidRDefault="002D7288" w:rsidP="002D7288">
      <w:pPr>
        <w:rPr>
          <w:rFonts w:ascii="Comic Sans MS" w:hAnsi="Comic Sans MS"/>
          <w:sz w:val="22"/>
          <w:szCs w:val="22"/>
          <w:lang w:val="en-GB"/>
        </w:rPr>
      </w:pPr>
      <w:r>
        <w:rPr>
          <w:rFonts w:ascii="Comic Sans MS" w:hAnsi="Comic Sans MS"/>
          <w:sz w:val="22"/>
          <w:szCs w:val="22"/>
          <w:lang w:val="en-US"/>
        </w:rPr>
        <w:t xml:space="preserve">Prof dr Marc Claeys: Project coordinator </w:t>
      </w:r>
      <w:r w:rsidRPr="00111DC6">
        <w:rPr>
          <w:rFonts w:ascii="Comic Sans MS" w:hAnsi="Comic Sans MS"/>
          <w:sz w:val="22"/>
          <w:szCs w:val="22"/>
          <w:lang w:val="en-GB"/>
        </w:rPr>
        <w:tab/>
      </w:r>
      <w:r>
        <w:rPr>
          <w:rFonts w:ascii="Comic Sans MS" w:hAnsi="Comic Sans MS"/>
          <w:sz w:val="22"/>
          <w:szCs w:val="22"/>
          <w:lang w:val="en-GB"/>
        </w:rPr>
        <w:t xml:space="preserve">               </w:t>
      </w:r>
      <w:r w:rsidR="00A1183D">
        <w:rPr>
          <w:rFonts w:ascii="Comic Sans MS" w:hAnsi="Comic Sans MS"/>
          <w:sz w:val="22"/>
          <w:szCs w:val="22"/>
          <w:lang w:val="en-GB"/>
        </w:rPr>
        <w:t>marc.claeys@uantwerpen.be</w:t>
      </w:r>
    </w:p>
    <w:p w:rsidR="002D7288" w:rsidRDefault="002D7288" w:rsidP="002D7288">
      <w:pPr>
        <w:rPr>
          <w:rFonts w:ascii="Comic Sans MS" w:hAnsi="Comic Sans MS"/>
          <w:b/>
          <w:sz w:val="22"/>
          <w:szCs w:val="22"/>
          <w:u w:val="single"/>
          <w:lang w:val="en-GB"/>
        </w:rPr>
      </w:pPr>
    </w:p>
    <w:p w:rsidR="00EF1E41" w:rsidRDefault="00EF1E41" w:rsidP="002D7288">
      <w:pPr>
        <w:rPr>
          <w:rFonts w:ascii="Comic Sans MS" w:hAnsi="Comic Sans MS"/>
          <w:b/>
          <w:sz w:val="22"/>
          <w:szCs w:val="22"/>
          <w:u w:val="single"/>
          <w:lang w:val="en-GB"/>
        </w:rPr>
      </w:pPr>
    </w:p>
    <w:p w:rsidR="002D7288" w:rsidRDefault="002D7288" w:rsidP="002D7288">
      <w:pPr>
        <w:rPr>
          <w:rFonts w:ascii="Comic Sans MS" w:hAnsi="Comic Sans MS"/>
          <w:b/>
          <w:sz w:val="22"/>
          <w:szCs w:val="22"/>
          <w:u w:val="single"/>
          <w:lang w:val="en-GB"/>
        </w:rPr>
      </w:pPr>
      <w:r>
        <w:rPr>
          <w:rFonts w:ascii="Comic Sans MS" w:hAnsi="Comic Sans MS"/>
          <w:b/>
          <w:sz w:val="22"/>
          <w:szCs w:val="22"/>
          <w:u w:val="single"/>
          <w:lang w:val="en-GB"/>
        </w:rPr>
        <w:t>References</w:t>
      </w:r>
    </w:p>
    <w:p w:rsidR="002D7288" w:rsidRDefault="002D7288" w:rsidP="002D7288">
      <w:pPr>
        <w:rPr>
          <w:rFonts w:ascii="Comic Sans MS" w:hAnsi="Comic Sans MS"/>
          <w:b/>
          <w:sz w:val="22"/>
          <w:szCs w:val="22"/>
          <w:u w:val="single"/>
          <w:lang w:val="en-GB"/>
        </w:rPr>
      </w:pPr>
    </w:p>
    <w:p w:rsidR="002D7288" w:rsidRPr="00FF7A84" w:rsidRDefault="002D7288" w:rsidP="002D7288">
      <w:pPr>
        <w:rPr>
          <w:rFonts w:ascii="Comic Sans MS" w:hAnsi="Comic Sans MS"/>
          <w:sz w:val="18"/>
          <w:szCs w:val="20"/>
          <w:lang w:val="en-GB"/>
        </w:rPr>
      </w:pPr>
    </w:p>
    <w:p w:rsidR="002D7288" w:rsidRDefault="00BD45A1" w:rsidP="002D7288">
      <w:pPr>
        <w:rPr>
          <w:rFonts w:ascii="Comic Sans MS" w:hAnsi="Comic Sans MS"/>
          <w:sz w:val="20"/>
          <w:szCs w:val="22"/>
          <w:lang w:val="en-US"/>
        </w:rPr>
      </w:pPr>
      <w:r w:rsidRPr="00BD45A1">
        <w:rPr>
          <w:rFonts w:ascii="Comic Sans MS" w:hAnsi="Comic Sans MS"/>
          <w:sz w:val="20"/>
          <w:szCs w:val="22"/>
          <w:lang w:val="en-US"/>
        </w:rPr>
        <w:t xml:space="preserve">Steg PG, James SK, Atar D, Badano LP, Blomstrom-Lundqvist C, Borger MA, Di MC, Dickstein K, Ducrocq G, Fernandez-Aviles F, Gershlick AH, Giannuzzi P, Halvorsen S, Huber K, Juni P, Kastrati A, Knuuti J, Lenzen MJ, Mahaffey KW, Valgimigli M, van 't Hof A, Widimsky P, Zahger D. ESC Guidelines for the management of acute myocardial infarction in patients presenting with ST-segment elevation. </w:t>
      </w:r>
      <w:r w:rsidRPr="00BD45A1">
        <w:rPr>
          <w:rFonts w:ascii="Comic Sans MS" w:hAnsi="Comic Sans MS"/>
          <w:i/>
          <w:sz w:val="20"/>
          <w:szCs w:val="22"/>
          <w:lang w:val="en-US"/>
        </w:rPr>
        <w:t>Eur Heart J</w:t>
      </w:r>
      <w:r w:rsidRPr="00BD45A1">
        <w:rPr>
          <w:rFonts w:ascii="Comic Sans MS" w:hAnsi="Comic Sans MS"/>
          <w:sz w:val="20"/>
          <w:szCs w:val="22"/>
          <w:lang w:val="en-US"/>
        </w:rPr>
        <w:t xml:space="preserve"> 2012;</w:t>
      </w:r>
      <w:r w:rsidRPr="00BD45A1">
        <w:rPr>
          <w:rFonts w:ascii="Comic Sans MS" w:hAnsi="Comic Sans MS"/>
          <w:b/>
          <w:sz w:val="20"/>
          <w:szCs w:val="22"/>
          <w:lang w:val="en-US"/>
        </w:rPr>
        <w:t>33</w:t>
      </w:r>
      <w:r w:rsidRPr="00BD45A1">
        <w:rPr>
          <w:rFonts w:ascii="Comic Sans MS" w:hAnsi="Comic Sans MS"/>
          <w:sz w:val="20"/>
          <w:szCs w:val="22"/>
          <w:lang w:val="en-US"/>
        </w:rPr>
        <w:t>(20):2569-2619.</w:t>
      </w:r>
      <w:r w:rsidR="003C4C26" w:rsidRPr="00A37A1E">
        <w:rPr>
          <w:rFonts w:ascii="Comic Sans MS" w:hAnsi="Comic Sans MS"/>
          <w:sz w:val="20"/>
          <w:szCs w:val="22"/>
          <w:lang w:val="en-US"/>
        </w:rPr>
        <w:t>.</w:t>
      </w:r>
    </w:p>
    <w:p w:rsidR="00BD45A1" w:rsidRDefault="00BD45A1" w:rsidP="002D7288">
      <w:pPr>
        <w:rPr>
          <w:rFonts w:ascii="Comic Sans MS" w:hAnsi="Comic Sans MS"/>
          <w:sz w:val="20"/>
          <w:szCs w:val="22"/>
          <w:lang w:val="en-US"/>
        </w:rPr>
      </w:pPr>
    </w:p>
    <w:p w:rsidR="007B531C" w:rsidRPr="007B531C" w:rsidRDefault="007B531C" w:rsidP="007B531C">
      <w:pPr>
        <w:rPr>
          <w:rFonts w:ascii="Comic Sans MS" w:hAnsi="Comic Sans MS"/>
          <w:sz w:val="20"/>
          <w:szCs w:val="22"/>
          <w:lang w:val="en-US"/>
        </w:rPr>
      </w:pPr>
      <w:r w:rsidRPr="007B531C">
        <w:rPr>
          <w:rFonts w:ascii="Comic Sans MS" w:hAnsi="Comic Sans MS"/>
          <w:sz w:val="20"/>
          <w:szCs w:val="22"/>
          <w:lang w:val="en-US"/>
        </w:rPr>
        <w:t>Schiele F, Gale CP, Bonnefoy E, Capuano F, Claeys MJ, Danchin N, et al. Quality</w:t>
      </w:r>
    </w:p>
    <w:p w:rsidR="007B531C" w:rsidRPr="007B531C" w:rsidRDefault="007B531C" w:rsidP="007B531C">
      <w:pPr>
        <w:rPr>
          <w:rFonts w:ascii="Comic Sans MS" w:hAnsi="Comic Sans MS"/>
          <w:sz w:val="20"/>
          <w:szCs w:val="22"/>
          <w:lang w:val="en-US"/>
        </w:rPr>
      </w:pPr>
      <w:r w:rsidRPr="007B531C">
        <w:rPr>
          <w:rFonts w:ascii="Comic Sans MS" w:hAnsi="Comic Sans MS"/>
          <w:sz w:val="20"/>
          <w:szCs w:val="22"/>
          <w:lang w:val="en-US"/>
        </w:rPr>
        <w:t>indicators for acute myocardial infarction: A position paper of the Acute Cardiovascular Care</w:t>
      </w:r>
    </w:p>
    <w:p w:rsidR="007B531C" w:rsidRDefault="007B531C" w:rsidP="007B531C">
      <w:pPr>
        <w:rPr>
          <w:rFonts w:ascii="Comic Sans MS" w:hAnsi="Comic Sans MS"/>
          <w:sz w:val="20"/>
          <w:szCs w:val="22"/>
          <w:lang w:val="en-US"/>
        </w:rPr>
      </w:pPr>
      <w:r w:rsidRPr="007B531C">
        <w:rPr>
          <w:rFonts w:ascii="Comic Sans MS" w:hAnsi="Comic Sans MS"/>
          <w:sz w:val="20"/>
          <w:szCs w:val="22"/>
          <w:lang w:val="en-US"/>
        </w:rPr>
        <w:t>Association. European Heart Journal-Acute Cardiovascular Care. 2017;6(1):34-59.</w:t>
      </w:r>
    </w:p>
    <w:p w:rsidR="007B531C" w:rsidRDefault="007B531C" w:rsidP="007B531C">
      <w:pPr>
        <w:rPr>
          <w:rFonts w:ascii="Comic Sans MS" w:hAnsi="Comic Sans MS"/>
          <w:sz w:val="20"/>
          <w:szCs w:val="22"/>
          <w:lang w:val="en-US"/>
        </w:rPr>
      </w:pPr>
    </w:p>
    <w:p w:rsidR="00BD45A1" w:rsidRPr="00BD45A1" w:rsidRDefault="00BD45A1" w:rsidP="00BD45A1">
      <w:pPr>
        <w:rPr>
          <w:rFonts w:ascii="Comic Sans MS" w:hAnsi="Comic Sans MS"/>
          <w:sz w:val="20"/>
          <w:szCs w:val="22"/>
          <w:lang w:val="en-US"/>
        </w:rPr>
      </w:pPr>
      <w:r w:rsidRPr="00A04231">
        <w:rPr>
          <w:rFonts w:ascii="Comic Sans MS" w:hAnsi="Comic Sans MS"/>
          <w:sz w:val="20"/>
          <w:szCs w:val="22"/>
          <w:lang w:val="fr-BE"/>
        </w:rPr>
        <w:t xml:space="preserve">Masoudi FA, Bonow RO, Brindis RG, et al. </w:t>
      </w:r>
      <w:r w:rsidRPr="00BD45A1">
        <w:rPr>
          <w:rFonts w:ascii="Comic Sans MS" w:hAnsi="Comic Sans MS"/>
          <w:sz w:val="20"/>
          <w:szCs w:val="22"/>
          <w:lang w:val="en-US"/>
        </w:rPr>
        <w:t>ACC/AHA 2008 statement on performance</w:t>
      </w:r>
    </w:p>
    <w:p w:rsidR="00BD45A1" w:rsidRPr="00BD45A1" w:rsidRDefault="00BD45A1" w:rsidP="00BD45A1">
      <w:pPr>
        <w:rPr>
          <w:rFonts w:ascii="Comic Sans MS" w:hAnsi="Comic Sans MS"/>
          <w:sz w:val="20"/>
          <w:szCs w:val="22"/>
          <w:lang w:val="en-US"/>
        </w:rPr>
      </w:pPr>
      <w:r w:rsidRPr="00BD45A1">
        <w:rPr>
          <w:rFonts w:ascii="Comic Sans MS" w:hAnsi="Comic Sans MS"/>
          <w:sz w:val="20"/>
          <w:szCs w:val="22"/>
          <w:lang w:val="en-US"/>
        </w:rPr>
        <w:t>measurement and reperfusion therapy: a report of the ACC/AHA Task Force on Performance</w:t>
      </w:r>
    </w:p>
    <w:p w:rsidR="00BD45A1" w:rsidRPr="00BD45A1" w:rsidRDefault="00BD45A1" w:rsidP="00BD45A1">
      <w:pPr>
        <w:rPr>
          <w:rFonts w:ascii="Comic Sans MS" w:hAnsi="Comic Sans MS"/>
          <w:sz w:val="20"/>
          <w:szCs w:val="22"/>
          <w:lang w:val="en-US"/>
        </w:rPr>
      </w:pPr>
      <w:r w:rsidRPr="00BD45A1">
        <w:rPr>
          <w:rFonts w:ascii="Comic Sans MS" w:hAnsi="Comic Sans MS"/>
          <w:sz w:val="20"/>
          <w:szCs w:val="22"/>
          <w:lang w:val="en-US"/>
        </w:rPr>
        <w:t>Measures (Work Group to address the challenges of performance measurement and</w:t>
      </w:r>
    </w:p>
    <w:p w:rsidR="00BD45A1" w:rsidRPr="00A37A1E" w:rsidRDefault="00BD45A1" w:rsidP="00BD45A1">
      <w:pPr>
        <w:rPr>
          <w:rFonts w:ascii="Comic Sans MS" w:hAnsi="Comic Sans MS"/>
          <w:sz w:val="20"/>
          <w:szCs w:val="22"/>
          <w:lang w:val="en-US"/>
        </w:rPr>
      </w:pPr>
      <w:r w:rsidRPr="00ED7226">
        <w:rPr>
          <w:rFonts w:ascii="Comic Sans MS" w:hAnsi="Comic Sans MS"/>
          <w:sz w:val="20"/>
          <w:szCs w:val="22"/>
          <w:lang w:val="en-US"/>
        </w:rPr>
        <w:t>reperfusion therapy). Circulation. 2008;118:2649-2661.</w:t>
      </w:r>
    </w:p>
    <w:p w:rsidR="002D7288" w:rsidRPr="00A37A1E" w:rsidRDefault="003C4C26" w:rsidP="002D7288">
      <w:pPr>
        <w:tabs>
          <w:tab w:val="right" w:pos="540"/>
          <w:tab w:val="left" w:pos="720"/>
        </w:tabs>
        <w:spacing w:after="240"/>
        <w:jc w:val="both"/>
        <w:rPr>
          <w:rFonts w:ascii="Comic Sans MS" w:hAnsi="Comic Sans MS"/>
          <w:sz w:val="20"/>
          <w:szCs w:val="22"/>
          <w:lang w:val="en-US"/>
        </w:rPr>
      </w:pPr>
      <w:r w:rsidRPr="00A37A1E">
        <w:rPr>
          <w:rFonts w:ascii="Comic Sans MS" w:hAnsi="Comic Sans MS"/>
          <w:sz w:val="20"/>
          <w:szCs w:val="22"/>
          <w:lang w:val="en-US"/>
        </w:rPr>
        <w:tab/>
      </w:r>
    </w:p>
    <w:p w:rsidR="002D7288" w:rsidRPr="00FF7A84" w:rsidRDefault="002D7288" w:rsidP="002D7288">
      <w:pPr>
        <w:tabs>
          <w:tab w:val="right" w:pos="540"/>
          <w:tab w:val="left" w:pos="720"/>
        </w:tabs>
        <w:spacing w:after="240"/>
        <w:jc w:val="both"/>
        <w:rPr>
          <w:rFonts w:ascii="Comic Sans MS" w:hAnsi="Comic Sans MS"/>
          <w:sz w:val="20"/>
          <w:szCs w:val="22"/>
          <w:lang w:val="en-US"/>
        </w:rPr>
      </w:pPr>
      <w:r w:rsidRPr="00FF7A84">
        <w:rPr>
          <w:rFonts w:ascii="Comic Sans MS" w:hAnsi="Comic Sans MS"/>
          <w:sz w:val="20"/>
          <w:szCs w:val="22"/>
          <w:lang w:val="en-GB"/>
        </w:rPr>
        <w:t xml:space="preserve">Knot J, Widimsky P, Wijns W, Stenestrand U, Kristensen SD, Van' TH, Weidinger F, Janzon M, Norgaard BL, Soerensen JT, van de Wetering H, Thygesen K, Bergsten PA, Digerfeldt C, Potgieter A, Tomer N, Fajadet J. How to set up an effective national primary angioplasty network: lessons learned from five European countries. </w:t>
      </w:r>
      <w:r w:rsidRPr="00FF7A84">
        <w:rPr>
          <w:rFonts w:ascii="Comic Sans MS" w:hAnsi="Comic Sans MS"/>
          <w:i/>
          <w:sz w:val="20"/>
          <w:szCs w:val="22"/>
          <w:lang w:val="en-GB"/>
        </w:rPr>
        <w:t>EuroIntervention</w:t>
      </w:r>
      <w:r w:rsidRPr="00FF7A84">
        <w:rPr>
          <w:rFonts w:ascii="Comic Sans MS" w:hAnsi="Comic Sans MS"/>
          <w:sz w:val="20"/>
          <w:szCs w:val="22"/>
          <w:lang w:val="en-GB"/>
        </w:rPr>
        <w:t xml:space="preserve"> 2009;</w:t>
      </w:r>
      <w:r w:rsidRPr="00FF7A84">
        <w:rPr>
          <w:rFonts w:ascii="Comic Sans MS" w:hAnsi="Comic Sans MS"/>
          <w:b/>
          <w:sz w:val="20"/>
          <w:szCs w:val="22"/>
          <w:lang w:val="en-GB"/>
        </w:rPr>
        <w:t>5</w:t>
      </w:r>
      <w:r w:rsidRPr="00FF7A84">
        <w:rPr>
          <w:rFonts w:ascii="Comic Sans MS" w:hAnsi="Comic Sans MS"/>
          <w:sz w:val="20"/>
          <w:szCs w:val="22"/>
          <w:lang w:val="en-GB"/>
        </w:rPr>
        <w:t>(3):299, 301-299, 309.</w:t>
      </w:r>
    </w:p>
    <w:p w:rsidR="002D7288" w:rsidRPr="00FF7A84" w:rsidRDefault="002D7288" w:rsidP="002D7288">
      <w:pPr>
        <w:tabs>
          <w:tab w:val="right" w:pos="540"/>
          <w:tab w:val="left" w:pos="720"/>
        </w:tabs>
        <w:spacing w:after="240"/>
        <w:jc w:val="both"/>
        <w:rPr>
          <w:rFonts w:ascii="Comic Sans MS" w:hAnsi="Comic Sans MS"/>
          <w:sz w:val="20"/>
          <w:szCs w:val="22"/>
          <w:lang w:val="en-GB"/>
        </w:rPr>
      </w:pPr>
      <w:r w:rsidRPr="00FF7A84">
        <w:rPr>
          <w:sz w:val="20"/>
          <w:szCs w:val="22"/>
          <w:lang w:val="en-GB"/>
        </w:rPr>
        <w:tab/>
      </w:r>
      <w:r w:rsidRPr="00FF7A84">
        <w:rPr>
          <w:rFonts w:ascii="Comic Sans MS" w:hAnsi="Comic Sans MS"/>
          <w:sz w:val="20"/>
          <w:szCs w:val="22"/>
          <w:lang w:val="en-GB"/>
        </w:rPr>
        <w:t xml:space="preserve">Kalla K, Christ G, Karnik R, Malzer R, Norman G, Prachar H, Schreiber W, Unger G, Glogar HD, Kaff A, Laggner AN, Maurer G, Mlczoch J, Slany J, Weber HS, Huber K. Implementation of guidelines improves the standard of care: the Viennese registry on reperfusion strategies in ST-elevation myocardial infarction (Vienna STEMI registry). </w:t>
      </w:r>
      <w:r w:rsidRPr="00FF7A84">
        <w:rPr>
          <w:rFonts w:ascii="Comic Sans MS" w:hAnsi="Comic Sans MS"/>
          <w:i/>
          <w:sz w:val="20"/>
          <w:szCs w:val="22"/>
          <w:lang w:val="en-GB"/>
        </w:rPr>
        <w:t>Circulation</w:t>
      </w:r>
      <w:r w:rsidRPr="00FF7A84">
        <w:rPr>
          <w:rFonts w:ascii="Comic Sans MS" w:hAnsi="Comic Sans MS"/>
          <w:sz w:val="20"/>
          <w:szCs w:val="22"/>
          <w:lang w:val="en-GB"/>
        </w:rPr>
        <w:t xml:space="preserve"> 2006;</w:t>
      </w:r>
      <w:r w:rsidRPr="00FF7A84">
        <w:rPr>
          <w:rFonts w:ascii="Comic Sans MS" w:hAnsi="Comic Sans MS"/>
          <w:b/>
          <w:sz w:val="20"/>
          <w:szCs w:val="22"/>
          <w:lang w:val="en-GB"/>
        </w:rPr>
        <w:t>113</w:t>
      </w:r>
      <w:r w:rsidRPr="00FF7A84">
        <w:rPr>
          <w:rFonts w:ascii="Comic Sans MS" w:hAnsi="Comic Sans MS"/>
          <w:sz w:val="20"/>
          <w:szCs w:val="22"/>
          <w:lang w:val="en-GB"/>
        </w:rPr>
        <w:t>(20):2398-2405.</w:t>
      </w:r>
    </w:p>
    <w:p w:rsidR="0072698A" w:rsidRDefault="0072698A" w:rsidP="00EF1E41">
      <w:pPr>
        <w:jc w:val="both"/>
        <w:rPr>
          <w:rFonts w:ascii="Comic Sans MS" w:hAnsi="Comic Sans MS"/>
          <w:sz w:val="22"/>
          <w:szCs w:val="22"/>
          <w:lang w:val="en-GB"/>
        </w:rPr>
      </w:pPr>
    </w:p>
    <w:p w:rsidR="007B531C" w:rsidRPr="007B531C" w:rsidRDefault="007B531C" w:rsidP="007B531C">
      <w:pPr>
        <w:jc w:val="both"/>
        <w:rPr>
          <w:rFonts w:ascii="Comic Sans MS" w:hAnsi="Comic Sans MS"/>
          <w:sz w:val="20"/>
          <w:szCs w:val="22"/>
          <w:lang w:val="en-US"/>
        </w:rPr>
      </w:pPr>
      <w:r w:rsidRPr="007B531C">
        <w:rPr>
          <w:rFonts w:ascii="Comic Sans MS" w:hAnsi="Comic Sans MS"/>
          <w:sz w:val="20"/>
          <w:szCs w:val="22"/>
          <w:lang w:val="en-US"/>
        </w:rPr>
        <w:t>Bebb O, Hall M, Fox KAA, Dondo TB, Timmis A, Bueno H, et al. Performance of</w:t>
      </w:r>
    </w:p>
    <w:p w:rsidR="007B531C" w:rsidRPr="007B531C" w:rsidRDefault="007B531C" w:rsidP="007B531C">
      <w:pPr>
        <w:jc w:val="both"/>
        <w:rPr>
          <w:rFonts w:ascii="Comic Sans MS" w:hAnsi="Comic Sans MS"/>
          <w:sz w:val="20"/>
          <w:szCs w:val="22"/>
          <w:lang w:val="en-US"/>
        </w:rPr>
      </w:pPr>
      <w:r w:rsidRPr="007B531C">
        <w:rPr>
          <w:rFonts w:ascii="Comic Sans MS" w:hAnsi="Comic Sans MS"/>
          <w:sz w:val="20"/>
          <w:szCs w:val="22"/>
          <w:lang w:val="en-US"/>
        </w:rPr>
        <w:t>hospitals according to the ESC ACCA quality indicators and 30-day mortality for</w:t>
      </w:r>
    </w:p>
    <w:p w:rsidR="007B531C" w:rsidRPr="007B531C" w:rsidRDefault="007B531C" w:rsidP="007B531C">
      <w:pPr>
        <w:jc w:val="both"/>
        <w:rPr>
          <w:rFonts w:ascii="Comic Sans MS" w:hAnsi="Comic Sans MS"/>
          <w:sz w:val="20"/>
          <w:szCs w:val="22"/>
          <w:lang w:val="en-US"/>
        </w:rPr>
      </w:pPr>
      <w:r w:rsidRPr="007B531C">
        <w:rPr>
          <w:rFonts w:ascii="Comic Sans MS" w:hAnsi="Comic Sans MS"/>
          <w:sz w:val="20"/>
          <w:szCs w:val="22"/>
          <w:lang w:val="en-US"/>
        </w:rPr>
        <w:t>acutemyocardial infarction: national cohort study using the United KingdomMyocardial</w:t>
      </w:r>
    </w:p>
    <w:p w:rsidR="007B531C" w:rsidRPr="007B531C" w:rsidRDefault="007B531C" w:rsidP="007B531C">
      <w:pPr>
        <w:jc w:val="both"/>
        <w:rPr>
          <w:rFonts w:ascii="Comic Sans MS" w:hAnsi="Comic Sans MS"/>
          <w:sz w:val="20"/>
          <w:szCs w:val="22"/>
          <w:lang w:val="en-US"/>
        </w:rPr>
      </w:pPr>
      <w:r w:rsidRPr="007B531C">
        <w:rPr>
          <w:rFonts w:ascii="Comic Sans MS" w:hAnsi="Comic Sans MS"/>
          <w:sz w:val="20"/>
          <w:szCs w:val="22"/>
          <w:lang w:val="en-US"/>
        </w:rPr>
        <w:t>Ischaemia National Audit Project (MINAP) register. European heart journal.</w:t>
      </w:r>
    </w:p>
    <w:p w:rsidR="00B12F43" w:rsidRDefault="007B531C" w:rsidP="007B531C">
      <w:pPr>
        <w:jc w:val="both"/>
        <w:rPr>
          <w:rFonts w:ascii="Comic Sans MS" w:hAnsi="Comic Sans MS"/>
          <w:sz w:val="20"/>
          <w:szCs w:val="22"/>
          <w:lang w:val="en-US"/>
        </w:rPr>
      </w:pPr>
      <w:r w:rsidRPr="007B531C">
        <w:rPr>
          <w:rFonts w:ascii="Comic Sans MS" w:hAnsi="Comic Sans MS"/>
          <w:sz w:val="20"/>
          <w:szCs w:val="22"/>
          <w:lang w:val="en-US"/>
        </w:rPr>
        <w:t>2017;38(13):974-82</w:t>
      </w:r>
    </w:p>
    <w:p w:rsidR="00120590" w:rsidRDefault="00120590" w:rsidP="007B531C">
      <w:pPr>
        <w:jc w:val="both"/>
        <w:rPr>
          <w:rFonts w:ascii="Comic Sans MS" w:hAnsi="Comic Sans MS"/>
          <w:sz w:val="20"/>
          <w:szCs w:val="22"/>
          <w:lang w:val="en-US"/>
        </w:rPr>
      </w:pPr>
    </w:p>
    <w:p w:rsidR="00120590" w:rsidRPr="00120590" w:rsidRDefault="00120590" w:rsidP="00120590">
      <w:pPr>
        <w:jc w:val="both"/>
        <w:rPr>
          <w:rFonts w:ascii="Comic Sans MS" w:hAnsi="Comic Sans MS"/>
          <w:sz w:val="20"/>
          <w:szCs w:val="22"/>
          <w:lang w:val="en-US"/>
        </w:rPr>
      </w:pPr>
      <w:r w:rsidRPr="00120590">
        <w:rPr>
          <w:rFonts w:ascii="Comic Sans MS" w:hAnsi="Comic Sans MS"/>
          <w:sz w:val="20"/>
          <w:szCs w:val="22"/>
          <w:lang w:val="en-US"/>
        </w:rPr>
        <w:t xml:space="preserve">McCabe JM; Kevin F. Kennedy KF; Eisenhauer AC; </w:t>
      </w:r>
      <w:r>
        <w:rPr>
          <w:rFonts w:ascii="Comic Sans MS" w:hAnsi="Comic Sans MS"/>
          <w:sz w:val="20"/>
          <w:szCs w:val="22"/>
          <w:lang w:val="en-GB"/>
        </w:rPr>
        <w:t>Waldman HM; Mort EA; Pomerantsev E</w:t>
      </w:r>
      <w:r w:rsidRPr="00120590">
        <w:rPr>
          <w:rFonts w:ascii="Comic Sans MS" w:hAnsi="Comic Sans MS"/>
          <w:sz w:val="20"/>
          <w:szCs w:val="22"/>
          <w:lang w:val="en-GB"/>
        </w:rPr>
        <w:t>;</w:t>
      </w:r>
      <w:r>
        <w:rPr>
          <w:rFonts w:ascii="Comic Sans MS" w:hAnsi="Comic Sans MS"/>
          <w:sz w:val="20"/>
          <w:szCs w:val="22"/>
          <w:lang w:val="en-US"/>
        </w:rPr>
        <w:t xml:space="preserve"> </w:t>
      </w:r>
      <w:r w:rsidRPr="00120590">
        <w:rPr>
          <w:rFonts w:ascii="Comic Sans MS" w:hAnsi="Comic Sans MS"/>
          <w:sz w:val="20"/>
          <w:szCs w:val="22"/>
          <w:lang w:val="en-GB"/>
        </w:rPr>
        <w:t>Resnic</w:t>
      </w:r>
      <w:r>
        <w:rPr>
          <w:rFonts w:ascii="Comic Sans MS" w:hAnsi="Comic Sans MS"/>
          <w:sz w:val="20"/>
          <w:szCs w:val="22"/>
          <w:lang w:val="en-GB"/>
        </w:rPr>
        <w:t xml:space="preserve"> FS; </w:t>
      </w:r>
      <w:r w:rsidRPr="00120590">
        <w:rPr>
          <w:rFonts w:ascii="Comic Sans MS" w:hAnsi="Comic Sans MS"/>
          <w:sz w:val="20"/>
          <w:szCs w:val="22"/>
          <w:lang w:val="en-GB"/>
        </w:rPr>
        <w:t xml:space="preserve"> Yeh</w:t>
      </w:r>
      <w:r>
        <w:rPr>
          <w:rFonts w:ascii="Comic Sans MS" w:hAnsi="Comic Sans MS"/>
          <w:sz w:val="20"/>
          <w:szCs w:val="22"/>
          <w:lang w:val="en-GB"/>
        </w:rPr>
        <w:t xml:space="preserve"> RS.</w:t>
      </w:r>
      <w:r>
        <w:rPr>
          <w:rFonts w:ascii="Comic Sans MS" w:hAnsi="Comic Sans MS"/>
          <w:sz w:val="20"/>
          <w:szCs w:val="22"/>
          <w:lang w:val="en-US"/>
        </w:rPr>
        <w:t xml:space="preserve"> </w:t>
      </w:r>
      <w:r w:rsidRPr="00120590">
        <w:rPr>
          <w:rFonts w:ascii="Comic Sans MS" w:hAnsi="Comic Sans MS"/>
          <w:sz w:val="20"/>
          <w:szCs w:val="22"/>
          <w:lang w:val="en-GB"/>
        </w:rPr>
        <w:t>Reporting Trends and Outcomes in ST-Segment–Elevation</w:t>
      </w:r>
      <w:r>
        <w:rPr>
          <w:rFonts w:ascii="Comic Sans MS" w:hAnsi="Comic Sans MS"/>
          <w:sz w:val="20"/>
          <w:szCs w:val="22"/>
          <w:lang w:val="en-GB"/>
        </w:rPr>
        <w:t xml:space="preserve"> </w:t>
      </w:r>
      <w:r w:rsidRPr="00120590">
        <w:rPr>
          <w:rFonts w:ascii="Comic Sans MS" w:hAnsi="Comic Sans MS"/>
          <w:sz w:val="20"/>
          <w:szCs w:val="22"/>
          <w:lang w:val="en-GB"/>
        </w:rPr>
        <w:t>Myocardial Infar</w:t>
      </w:r>
      <w:r>
        <w:rPr>
          <w:rFonts w:ascii="Comic Sans MS" w:hAnsi="Comic Sans MS"/>
          <w:sz w:val="20"/>
          <w:szCs w:val="22"/>
          <w:lang w:val="en-GB"/>
        </w:rPr>
        <w:t xml:space="preserve">ction National Hospital Quality </w:t>
      </w:r>
      <w:r w:rsidRPr="00120590">
        <w:rPr>
          <w:rFonts w:ascii="Comic Sans MS" w:hAnsi="Comic Sans MS"/>
          <w:sz w:val="20"/>
          <w:szCs w:val="22"/>
          <w:lang w:val="en-GB"/>
        </w:rPr>
        <w:t>Assessment Programs</w:t>
      </w:r>
      <w:r>
        <w:rPr>
          <w:rFonts w:ascii="Comic Sans MS" w:hAnsi="Comic Sans MS"/>
          <w:sz w:val="20"/>
          <w:szCs w:val="22"/>
          <w:lang w:val="en-GB"/>
        </w:rPr>
        <w:t xml:space="preserve">. </w:t>
      </w:r>
      <w:r w:rsidRPr="00120590">
        <w:rPr>
          <w:rFonts w:ascii="Comic Sans MS" w:hAnsi="Comic Sans MS"/>
          <w:sz w:val="20"/>
          <w:szCs w:val="22"/>
          <w:lang w:val="en-GB"/>
        </w:rPr>
        <w:t>Circulation. 2014;129:194-202</w:t>
      </w:r>
    </w:p>
    <w:p w:rsidR="00120590" w:rsidRPr="00B12F43" w:rsidRDefault="00120590">
      <w:pPr>
        <w:jc w:val="both"/>
        <w:rPr>
          <w:rFonts w:ascii="Comic Sans MS" w:hAnsi="Comic Sans MS"/>
          <w:sz w:val="20"/>
          <w:szCs w:val="22"/>
          <w:lang w:val="en-GB"/>
        </w:rPr>
      </w:pPr>
    </w:p>
    <w:sectPr w:rsidR="00120590" w:rsidRPr="00B12F43" w:rsidSect="00731275">
      <w:pgSz w:w="12240" w:h="15840"/>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067E"/>
    <w:multiLevelType w:val="hybridMultilevel"/>
    <w:tmpl w:val="74DA2F42"/>
    <w:lvl w:ilvl="0" w:tplc="BA76EE1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13F7149B"/>
    <w:multiLevelType w:val="hybridMultilevel"/>
    <w:tmpl w:val="D3A84A5E"/>
    <w:lvl w:ilvl="0" w:tplc="6FFEC2E2">
      <w:start w:val="1"/>
      <w:numFmt w:val="decimal"/>
      <w:lvlText w:val="%1."/>
      <w:lvlJc w:val="left"/>
      <w:pPr>
        <w:ind w:left="1068" w:hanging="360"/>
      </w:pPr>
      <w:rPr>
        <w:rFonts w:hint="default"/>
        <w:color w:val="000000" w:themeColor="text1"/>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56E5740"/>
    <w:multiLevelType w:val="hybridMultilevel"/>
    <w:tmpl w:val="BF0EF9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9E05145"/>
    <w:multiLevelType w:val="hybridMultilevel"/>
    <w:tmpl w:val="F84AD1E6"/>
    <w:lvl w:ilvl="0" w:tplc="0413000F">
      <w:start w:val="1"/>
      <w:numFmt w:val="decimal"/>
      <w:lvlText w:val="%1."/>
      <w:lvlJc w:val="left"/>
      <w:pPr>
        <w:tabs>
          <w:tab w:val="num" w:pos="1068"/>
        </w:tabs>
        <w:ind w:left="1068" w:hanging="360"/>
      </w:pPr>
    </w:lvl>
    <w:lvl w:ilvl="1" w:tplc="04130019">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
    <w:nsid w:val="1EB1355C"/>
    <w:multiLevelType w:val="hybridMultilevel"/>
    <w:tmpl w:val="C8C4B33E"/>
    <w:lvl w:ilvl="0" w:tplc="4FDE8AB6">
      <w:start w:val="1"/>
      <w:numFmt w:val="decimal"/>
      <w:lvlText w:val="%1."/>
      <w:lvlJc w:val="left"/>
      <w:pPr>
        <w:tabs>
          <w:tab w:val="num" w:pos="420"/>
        </w:tabs>
        <w:ind w:left="420" w:hanging="360"/>
      </w:pPr>
      <w:rPr>
        <w:rFonts w:hint="default"/>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5">
    <w:nsid w:val="29061115"/>
    <w:multiLevelType w:val="hybridMultilevel"/>
    <w:tmpl w:val="830493D2"/>
    <w:lvl w:ilvl="0" w:tplc="1996D52C">
      <w:start w:val="1"/>
      <w:numFmt w:val="decimal"/>
      <w:lvlText w:val="%1."/>
      <w:lvlJc w:val="left"/>
      <w:pPr>
        <w:tabs>
          <w:tab w:val="num" w:pos="1395"/>
        </w:tabs>
        <w:ind w:left="1395" w:hanging="360"/>
      </w:pPr>
      <w:rPr>
        <w:rFonts w:hint="default"/>
      </w:rPr>
    </w:lvl>
    <w:lvl w:ilvl="1" w:tplc="04130019" w:tentative="1">
      <w:start w:val="1"/>
      <w:numFmt w:val="lowerLetter"/>
      <w:lvlText w:val="%2."/>
      <w:lvlJc w:val="left"/>
      <w:pPr>
        <w:tabs>
          <w:tab w:val="num" w:pos="2115"/>
        </w:tabs>
        <w:ind w:left="2115" w:hanging="360"/>
      </w:pPr>
    </w:lvl>
    <w:lvl w:ilvl="2" w:tplc="0413001B" w:tentative="1">
      <w:start w:val="1"/>
      <w:numFmt w:val="lowerRoman"/>
      <w:lvlText w:val="%3."/>
      <w:lvlJc w:val="right"/>
      <w:pPr>
        <w:tabs>
          <w:tab w:val="num" w:pos="2835"/>
        </w:tabs>
        <w:ind w:left="2835" w:hanging="180"/>
      </w:pPr>
    </w:lvl>
    <w:lvl w:ilvl="3" w:tplc="0413000F" w:tentative="1">
      <w:start w:val="1"/>
      <w:numFmt w:val="decimal"/>
      <w:lvlText w:val="%4."/>
      <w:lvlJc w:val="left"/>
      <w:pPr>
        <w:tabs>
          <w:tab w:val="num" w:pos="3555"/>
        </w:tabs>
        <w:ind w:left="3555" w:hanging="360"/>
      </w:pPr>
    </w:lvl>
    <w:lvl w:ilvl="4" w:tplc="04130019" w:tentative="1">
      <w:start w:val="1"/>
      <w:numFmt w:val="lowerLetter"/>
      <w:lvlText w:val="%5."/>
      <w:lvlJc w:val="left"/>
      <w:pPr>
        <w:tabs>
          <w:tab w:val="num" w:pos="4275"/>
        </w:tabs>
        <w:ind w:left="4275" w:hanging="360"/>
      </w:pPr>
    </w:lvl>
    <w:lvl w:ilvl="5" w:tplc="0413001B" w:tentative="1">
      <w:start w:val="1"/>
      <w:numFmt w:val="lowerRoman"/>
      <w:lvlText w:val="%6."/>
      <w:lvlJc w:val="right"/>
      <w:pPr>
        <w:tabs>
          <w:tab w:val="num" w:pos="4995"/>
        </w:tabs>
        <w:ind w:left="4995" w:hanging="180"/>
      </w:pPr>
    </w:lvl>
    <w:lvl w:ilvl="6" w:tplc="0413000F" w:tentative="1">
      <w:start w:val="1"/>
      <w:numFmt w:val="decimal"/>
      <w:lvlText w:val="%7."/>
      <w:lvlJc w:val="left"/>
      <w:pPr>
        <w:tabs>
          <w:tab w:val="num" w:pos="5715"/>
        </w:tabs>
        <w:ind w:left="5715" w:hanging="360"/>
      </w:pPr>
    </w:lvl>
    <w:lvl w:ilvl="7" w:tplc="04130019" w:tentative="1">
      <w:start w:val="1"/>
      <w:numFmt w:val="lowerLetter"/>
      <w:lvlText w:val="%8."/>
      <w:lvlJc w:val="left"/>
      <w:pPr>
        <w:tabs>
          <w:tab w:val="num" w:pos="6435"/>
        </w:tabs>
        <w:ind w:left="6435" w:hanging="360"/>
      </w:pPr>
    </w:lvl>
    <w:lvl w:ilvl="8" w:tplc="0413001B" w:tentative="1">
      <w:start w:val="1"/>
      <w:numFmt w:val="lowerRoman"/>
      <w:lvlText w:val="%9."/>
      <w:lvlJc w:val="right"/>
      <w:pPr>
        <w:tabs>
          <w:tab w:val="num" w:pos="7155"/>
        </w:tabs>
        <w:ind w:left="7155" w:hanging="180"/>
      </w:pPr>
    </w:lvl>
  </w:abstractNum>
  <w:abstractNum w:abstractNumId="6">
    <w:nsid w:val="2C9050AE"/>
    <w:multiLevelType w:val="hybridMultilevel"/>
    <w:tmpl w:val="AC3ACA2C"/>
    <w:lvl w:ilvl="0" w:tplc="0413000F">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nsid w:val="414F46F7"/>
    <w:multiLevelType w:val="hybridMultilevel"/>
    <w:tmpl w:val="E2380CC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81D55E6"/>
    <w:multiLevelType w:val="hybridMultilevel"/>
    <w:tmpl w:val="04E8AFA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61D03B42"/>
    <w:multiLevelType w:val="hybridMultilevel"/>
    <w:tmpl w:val="6D8055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6080E92"/>
    <w:multiLevelType w:val="hybridMultilevel"/>
    <w:tmpl w:val="2F88EA0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70D90B29"/>
    <w:multiLevelType w:val="hybridMultilevel"/>
    <w:tmpl w:val="B25AA5FC"/>
    <w:lvl w:ilvl="0" w:tplc="304C33AA">
      <w:start w:val="1"/>
      <w:numFmt w:val="bullet"/>
      <w:lvlText w:val="•"/>
      <w:lvlJc w:val="left"/>
      <w:pPr>
        <w:tabs>
          <w:tab w:val="num" w:pos="720"/>
        </w:tabs>
        <w:ind w:left="720" w:hanging="360"/>
      </w:pPr>
      <w:rPr>
        <w:rFonts w:ascii="Times New Roman" w:hAnsi="Times New Roman" w:hint="default"/>
      </w:rPr>
    </w:lvl>
    <w:lvl w:ilvl="1" w:tplc="90ACB5E0" w:tentative="1">
      <w:start w:val="1"/>
      <w:numFmt w:val="bullet"/>
      <w:lvlText w:val="•"/>
      <w:lvlJc w:val="left"/>
      <w:pPr>
        <w:tabs>
          <w:tab w:val="num" w:pos="1440"/>
        </w:tabs>
        <w:ind w:left="1440" w:hanging="360"/>
      </w:pPr>
      <w:rPr>
        <w:rFonts w:ascii="Times New Roman" w:hAnsi="Times New Roman" w:hint="default"/>
      </w:rPr>
    </w:lvl>
    <w:lvl w:ilvl="2" w:tplc="0B0E7944" w:tentative="1">
      <w:start w:val="1"/>
      <w:numFmt w:val="bullet"/>
      <w:lvlText w:val="•"/>
      <w:lvlJc w:val="left"/>
      <w:pPr>
        <w:tabs>
          <w:tab w:val="num" w:pos="2160"/>
        </w:tabs>
        <w:ind w:left="2160" w:hanging="360"/>
      </w:pPr>
      <w:rPr>
        <w:rFonts w:ascii="Times New Roman" w:hAnsi="Times New Roman" w:hint="default"/>
      </w:rPr>
    </w:lvl>
    <w:lvl w:ilvl="3" w:tplc="8A72D146" w:tentative="1">
      <w:start w:val="1"/>
      <w:numFmt w:val="bullet"/>
      <w:lvlText w:val="•"/>
      <w:lvlJc w:val="left"/>
      <w:pPr>
        <w:tabs>
          <w:tab w:val="num" w:pos="2880"/>
        </w:tabs>
        <w:ind w:left="2880" w:hanging="360"/>
      </w:pPr>
      <w:rPr>
        <w:rFonts w:ascii="Times New Roman" w:hAnsi="Times New Roman" w:hint="default"/>
      </w:rPr>
    </w:lvl>
    <w:lvl w:ilvl="4" w:tplc="FACAE4DA" w:tentative="1">
      <w:start w:val="1"/>
      <w:numFmt w:val="bullet"/>
      <w:lvlText w:val="•"/>
      <w:lvlJc w:val="left"/>
      <w:pPr>
        <w:tabs>
          <w:tab w:val="num" w:pos="3600"/>
        </w:tabs>
        <w:ind w:left="3600" w:hanging="360"/>
      </w:pPr>
      <w:rPr>
        <w:rFonts w:ascii="Times New Roman" w:hAnsi="Times New Roman" w:hint="default"/>
      </w:rPr>
    </w:lvl>
    <w:lvl w:ilvl="5" w:tplc="2AF8B01E" w:tentative="1">
      <w:start w:val="1"/>
      <w:numFmt w:val="bullet"/>
      <w:lvlText w:val="•"/>
      <w:lvlJc w:val="left"/>
      <w:pPr>
        <w:tabs>
          <w:tab w:val="num" w:pos="4320"/>
        </w:tabs>
        <w:ind w:left="4320" w:hanging="360"/>
      </w:pPr>
      <w:rPr>
        <w:rFonts w:ascii="Times New Roman" w:hAnsi="Times New Roman" w:hint="default"/>
      </w:rPr>
    </w:lvl>
    <w:lvl w:ilvl="6" w:tplc="E6DADB4A" w:tentative="1">
      <w:start w:val="1"/>
      <w:numFmt w:val="bullet"/>
      <w:lvlText w:val="•"/>
      <w:lvlJc w:val="left"/>
      <w:pPr>
        <w:tabs>
          <w:tab w:val="num" w:pos="5040"/>
        </w:tabs>
        <w:ind w:left="5040" w:hanging="360"/>
      </w:pPr>
      <w:rPr>
        <w:rFonts w:ascii="Times New Roman" w:hAnsi="Times New Roman" w:hint="default"/>
      </w:rPr>
    </w:lvl>
    <w:lvl w:ilvl="7" w:tplc="46EC2A0E" w:tentative="1">
      <w:start w:val="1"/>
      <w:numFmt w:val="bullet"/>
      <w:lvlText w:val="•"/>
      <w:lvlJc w:val="left"/>
      <w:pPr>
        <w:tabs>
          <w:tab w:val="num" w:pos="5760"/>
        </w:tabs>
        <w:ind w:left="5760" w:hanging="360"/>
      </w:pPr>
      <w:rPr>
        <w:rFonts w:ascii="Times New Roman" w:hAnsi="Times New Roman" w:hint="default"/>
      </w:rPr>
    </w:lvl>
    <w:lvl w:ilvl="8" w:tplc="BA30478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A2A79C3"/>
    <w:multiLevelType w:val="hybridMultilevel"/>
    <w:tmpl w:val="5258718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4"/>
  </w:num>
  <w:num w:numId="5">
    <w:abstractNumId w:val="11"/>
  </w:num>
  <w:num w:numId="6">
    <w:abstractNumId w:val="5"/>
  </w:num>
  <w:num w:numId="7">
    <w:abstractNumId w:val="0"/>
  </w:num>
  <w:num w:numId="8">
    <w:abstractNumId w:val="1"/>
  </w:num>
  <w:num w:numId="9">
    <w:abstractNumId w:val="2"/>
  </w:num>
  <w:num w:numId="10">
    <w:abstractNumId w:val="7"/>
  </w:num>
  <w:num w:numId="11">
    <w:abstractNumId w:val="8"/>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
    <w15:presenceInfo w15:providerId="None" w15:userId="c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8A"/>
    <w:rsid w:val="000166CD"/>
    <w:rsid w:val="00021C96"/>
    <w:rsid w:val="00025DC9"/>
    <w:rsid w:val="000373F0"/>
    <w:rsid w:val="00037F68"/>
    <w:rsid w:val="00041496"/>
    <w:rsid w:val="00045D15"/>
    <w:rsid w:val="00066948"/>
    <w:rsid w:val="000752FB"/>
    <w:rsid w:val="000775ED"/>
    <w:rsid w:val="00080A13"/>
    <w:rsid w:val="00093A5F"/>
    <w:rsid w:val="000A3F14"/>
    <w:rsid w:val="000A5165"/>
    <w:rsid w:val="000A690E"/>
    <w:rsid w:val="000C25D9"/>
    <w:rsid w:val="000D02F8"/>
    <w:rsid w:val="000F0CE1"/>
    <w:rsid w:val="000F4DA1"/>
    <w:rsid w:val="000F57A8"/>
    <w:rsid w:val="00101869"/>
    <w:rsid w:val="00107424"/>
    <w:rsid w:val="001113BA"/>
    <w:rsid w:val="00111D21"/>
    <w:rsid w:val="00111DC6"/>
    <w:rsid w:val="001204BC"/>
    <w:rsid w:val="00120590"/>
    <w:rsid w:val="001217DF"/>
    <w:rsid w:val="00122CDB"/>
    <w:rsid w:val="00127120"/>
    <w:rsid w:val="00135293"/>
    <w:rsid w:val="00143B92"/>
    <w:rsid w:val="00145EB1"/>
    <w:rsid w:val="00191F1A"/>
    <w:rsid w:val="00197DBE"/>
    <w:rsid w:val="001A078C"/>
    <w:rsid w:val="001B01A0"/>
    <w:rsid w:val="001B2760"/>
    <w:rsid w:val="001B5762"/>
    <w:rsid w:val="001D02DD"/>
    <w:rsid w:val="001D1DD6"/>
    <w:rsid w:val="001D6965"/>
    <w:rsid w:val="001E2A6A"/>
    <w:rsid w:val="001E2FA3"/>
    <w:rsid w:val="001E43DF"/>
    <w:rsid w:val="001E7F8B"/>
    <w:rsid w:val="002021B2"/>
    <w:rsid w:val="00213135"/>
    <w:rsid w:val="002178F7"/>
    <w:rsid w:val="002309C3"/>
    <w:rsid w:val="0023587A"/>
    <w:rsid w:val="00237351"/>
    <w:rsid w:val="0024265F"/>
    <w:rsid w:val="00245C59"/>
    <w:rsid w:val="00252EE6"/>
    <w:rsid w:val="00261CA0"/>
    <w:rsid w:val="002626D7"/>
    <w:rsid w:val="0026586B"/>
    <w:rsid w:val="00284F18"/>
    <w:rsid w:val="0029214A"/>
    <w:rsid w:val="00292995"/>
    <w:rsid w:val="00292C69"/>
    <w:rsid w:val="002A550F"/>
    <w:rsid w:val="002C3555"/>
    <w:rsid w:val="002C3B6F"/>
    <w:rsid w:val="002D6262"/>
    <w:rsid w:val="002D7288"/>
    <w:rsid w:val="0030015E"/>
    <w:rsid w:val="00301BF1"/>
    <w:rsid w:val="0030282E"/>
    <w:rsid w:val="00303066"/>
    <w:rsid w:val="00304A25"/>
    <w:rsid w:val="003276FA"/>
    <w:rsid w:val="0033088A"/>
    <w:rsid w:val="00333033"/>
    <w:rsid w:val="0035227D"/>
    <w:rsid w:val="0035272F"/>
    <w:rsid w:val="003831AC"/>
    <w:rsid w:val="00391ABD"/>
    <w:rsid w:val="003928F2"/>
    <w:rsid w:val="003A2AD0"/>
    <w:rsid w:val="003B11D9"/>
    <w:rsid w:val="003C49AD"/>
    <w:rsid w:val="003C4C26"/>
    <w:rsid w:val="003E29F7"/>
    <w:rsid w:val="003F1871"/>
    <w:rsid w:val="003F37C9"/>
    <w:rsid w:val="003F5700"/>
    <w:rsid w:val="0040081B"/>
    <w:rsid w:val="0040319A"/>
    <w:rsid w:val="00416AA9"/>
    <w:rsid w:val="00424633"/>
    <w:rsid w:val="004248A5"/>
    <w:rsid w:val="00433EA1"/>
    <w:rsid w:val="004352B8"/>
    <w:rsid w:val="00435757"/>
    <w:rsid w:val="00453ECB"/>
    <w:rsid w:val="00454A59"/>
    <w:rsid w:val="0046241F"/>
    <w:rsid w:val="004831FE"/>
    <w:rsid w:val="004906D9"/>
    <w:rsid w:val="00493241"/>
    <w:rsid w:val="00495955"/>
    <w:rsid w:val="00497341"/>
    <w:rsid w:val="004A7CB6"/>
    <w:rsid w:val="004D2965"/>
    <w:rsid w:val="004D527D"/>
    <w:rsid w:val="004E2786"/>
    <w:rsid w:val="004F1FC5"/>
    <w:rsid w:val="00504624"/>
    <w:rsid w:val="00506867"/>
    <w:rsid w:val="0050792D"/>
    <w:rsid w:val="00512818"/>
    <w:rsid w:val="00513284"/>
    <w:rsid w:val="0052098A"/>
    <w:rsid w:val="005271C8"/>
    <w:rsid w:val="0053065C"/>
    <w:rsid w:val="00550A7A"/>
    <w:rsid w:val="00555941"/>
    <w:rsid w:val="005601A5"/>
    <w:rsid w:val="00574768"/>
    <w:rsid w:val="00576B21"/>
    <w:rsid w:val="00577489"/>
    <w:rsid w:val="00580F56"/>
    <w:rsid w:val="0058321F"/>
    <w:rsid w:val="005924EB"/>
    <w:rsid w:val="005A42A8"/>
    <w:rsid w:val="005B143E"/>
    <w:rsid w:val="005C00B6"/>
    <w:rsid w:val="005C2231"/>
    <w:rsid w:val="005C32EB"/>
    <w:rsid w:val="005C553D"/>
    <w:rsid w:val="005D004A"/>
    <w:rsid w:val="005E0A58"/>
    <w:rsid w:val="005E0B63"/>
    <w:rsid w:val="005E23A6"/>
    <w:rsid w:val="005E41D4"/>
    <w:rsid w:val="005F07E9"/>
    <w:rsid w:val="005F2773"/>
    <w:rsid w:val="005F4377"/>
    <w:rsid w:val="00613DC8"/>
    <w:rsid w:val="0061646F"/>
    <w:rsid w:val="00626FB4"/>
    <w:rsid w:val="00634616"/>
    <w:rsid w:val="00640E47"/>
    <w:rsid w:val="0064332A"/>
    <w:rsid w:val="0065504C"/>
    <w:rsid w:val="006633E0"/>
    <w:rsid w:val="00670564"/>
    <w:rsid w:val="00671FEC"/>
    <w:rsid w:val="006A35E1"/>
    <w:rsid w:val="006B0576"/>
    <w:rsid w:val="006B1328"/>
    <w:rsid w:val="006B1FC6"/>
    <w:rsid w:val="006C09FC"/>
    <w:rsid w:val="006C1E58"/>
    <w:rsid w:val="006C60A4"/>
    <w:rsid w:val="006D2C66"/>
    <w:rsid w:val="006D5BC7"/>
    <w:rsid w:val="006E462E"/>
    <w:rsid w:val="006F784E"/>
    <w:rsid w:val="006F7AB6"/>
    <w:rsid w:val="00702736"/>
    <w:rsid w:val="00704B2A"/>
    <w:rsid w:val="0072698A"/>
    <w:rsid w:val="00731275"/>
    <w:rsid w:val="0073683F"/>
    <w:rsid w:val="00746883"/>
    <w:rsid w:val="00750B87"/>
    <w:rsid w:val="00757D02"/>
    <w:rsid w:val="0076208C"/>
    <w:rsid w:val="0077662D"/>
    <w:rsid w:val="00776658"/>
    <w:rsid w:val="007826B6"/>
    <w:rsid w:val="007912B0"/>
    <w:rsid w:val="007A1AEA"/>
    <w:rsid w:val="007B0BA3"/>
    <w:rsid w:val="007B2EC4"/>
    <w:rsid w:val="007B531C"/>
    <w:rsid w:val="007D5584"/>
    <w:rsid w:val="007F6E7A"/>
    <w:rsid w:val="007F76C4"/>
    <w:rsid w:val="00815B18"/>
    <w:rsid w:val="0082172C"/>
    <w:rsid w:val="00842EF3"/>
    <w:rsid w:val="008472BB"/>
    <w:rsid w:val="008537F2"/>
    <w:rsid w:val="008612F5"/>
    <w:rsid w:val="00861397"/>
    <w:rsid w:val="008643EA"/>
    <w:rsid w:val="00865ADD"/>
    <w:rsid w:val="00867DC3"/>
    <w:rsid w:val="008739C2"/>
    <w:rsid w:val="00874E0F"/>
    <w:rsid w:val="008957AD"/>
    <w:rsid w:val="00896F6B"/>
    <w:rsid w:val="008A12E1"/>
    <w:rsid w:val="008C469B"/>
    <w:rsid w:val="008C4D76"/>
    <w:rsid w:val="008C4D9E"/>
    <w:rsid w:val="008D05F5"/>
    <w:rsid w:val="008D724D"/>
    <w:rsid w:val="008D7380"/>
    <w:rsid w:val="008E300F"/>
    <w:rsid w:val="008F10EC"/>
    <w:rsid w:val="008F2F51"/>
    <w:rsid w:val="00907245"/>
    <w:rsid w:val="00907CD8"/>
    <w:rsid w:val="00925A4B"/>
    <w:rsid w:val="0093295E"/>
    <w:rsid w:val="0094169B"/>
    <w:rsid w:val="009708E2"/>
    <w:rsid w:val="00971D77"/>
    <w:rsid w:val="0097337A"/>
    <w:rsid w:val="00982BA1"/>
    <w:rsid w:val="00987F9C"/>
    <w:rsid w:val="009920A6"/>
    <w:rsid w:val="009930C2"/>
    <w:rsid w:val="009B65DB"/>
    <w:rsid w:val="009C0B7D"/>
    <w:rsid w:val="009C6E6A"/>
    <w:rsid w:val="009D7B0B"/>
    <w:rsid w:val="009F5486"/>
    <w:rsid w:val="00A04231"/>
    <w:rsid w:val="00A11181"/>
    <w:rsid w:val="00A1183D"/>
    <w:rsid w:val="00A153FB"/>
    <w:rsid w:val="00A15D4D"/>
    <w:rsid w:val="00A2298E"/>
    <w:rsid w:val="00A31C04"/>
    <w:rsid w:val="00A3457F"/>
    <w:rsid w:val="00A37324"/>
    <w:rsid w:val="00A37A1E"/>
    <w:rsid w:val="00A40DAA"/>
    <w:rsid w:val="00A45CBD"/>
    <w:rsid w:val="00A55A03"/>
    <w:rsid w:val="00A7002E"/>
    <w:rsid w:val="00A73309"/>
    <w:rsid w:val="00A73BBD"/>
    <w:rsid w:val="00A74290"/>
    <w:rsid w:val="00A80DC2"/>
    <w:rsid w:val="00A91283"/>
    <w:rsid w:val="00A92E99"/>
    <w:rsid w:val="00A97417"/>
    <w:rsid w:val="00AA65CC"/>
    <w:rsid w:val="00AC7A3B"/>
    <w:rsid w:val="00AD730D"/>
    <w:rsid w:val="00AE4D23"/>
    <w:rsid w:val="00AE4FF4"/>
    <w:rsid w:val="00AF4727"/>
    <w:rsid w:val="00B109C0"/>
    <w:rsid w:val="00B12F43"/>
    <w:rsid w:val="00B136AE"/>
    <w:rsid w:val="00B34D8F"/>
    <w:rsid w:val="00B55161"/>
    <w:rsid w:val="00B77A84"/>
    <w:rsid w:val="00B813EF"/>
    <w:rsid w:val="00B832E6"/>
    <w:rsid w:val="00BB4339"/>
    <w:rsid w:val="00BB5DF1"/>
    <w:rsid w:val="00BD45A1"/>
    <w:rsid w:val="00BD70B6"/>
    <w:rsid w:val="00BE1C3A"/>
    <w:rsid w:val="00BF1CD3"/>
    <w:rsid w:val="00BF4FB8"/>
    <w:rsid w:val="00C2574B"/>
    <w:rsid w:val="00C25D1F"/>
    <w:rsid w:val="00C34E30"/>
    <w:rsid w:val="00C374A9"/>
    <w:rsid w:val="00C42035"/>
    <w:rsid w:val="00C5083C"/>
    <w:rsid w:val="00C76830"/>
    <w:rsid w:val="00C97747"/>
    <w:rsid w:val="00CB5C6D"/>
    <w:rsid w:val="00CC68BF"/>
    <w:rsid w:val="00CD1603"/>
    <w:rsid w:val="00CD363A"/>
    <w:rsid w:val="00CE29D9"/>
    <w:rsid w:val="00CF0141"/>
    <w:rsid w:val="00CF545B"/>
    <w:rsid w:val="00D07588"/>
    <w:rsid w:val="00D16CD4"/>
    <w:rsid w:val="00D22848"/>
    <w:rsid w:val="00D26793"/>
    <w:rsid w:val="00D3429A"/>
    <w:rsid w:val="00D57FD6"/>
    <w:rsid w:val="00D604BB"/>
    <w:rsid w:val="00D63FD5"/>
    <w:rsid w:val="00D90E74"/>
    <w:rsid w:val="00D94ABE"/>
    <w:rsid w:val="00D94F22"/>
    <w:rsid w:val="00D95E40"/>
    <w:rsid w:val="00DA2FF5"/>
    <w:rsid w:val="00DA3707"/>
    <w:rsid w:val="00DA672D"/>
    <w:rsid w:val="00DB5DA1"/>
    <w:rsid w:val="00DC2252"/>
    <w:rsid w:val="00DC4CE2"/>
    <w:rsid w:val="00DC5CBD"/>
    <w:rsid w:val="00DD5107"/>
    <w:rsid w:val="00DE173F"/>
    <w:rsid w:val="00DF3336"/>
    <w:rsid w:val="00DF5669"/>
    <w:rsid w:val="00DF578A"/>
    <w:rsid w:val="00DF6BA3"/>
    <w:rsid w:val="00E1219E"/>
    <w:rsid w:val="00E15A89"/>
    <w:rsid w:val="00E24CBF"/>
    <w:rsid w:val="00E50C9B"/>
    <w:rsid w:val="00E56328"/>
    <w:rsid w:val="00E9530D"/>
    <w:rsid w:val="00EC03DE"/>
    <w:rsid w:val="00EC2F1D"/>
    <w:rsid w:val="00ED7226"/>
    <w:rsid w:val="00EE03C2"/>
    <w:rsid w:val="00EF1E41"/>
    <w:rsid w:val="00EF7495"/>
    <w:rsid w:val="00F04726"/>
    <w:rsid w:val="00F05ED2"/>
    <w:rsid w:val="00F10AB5"/>
    <w:rsid w:val="00F11BE6"/>
    <w:rsid w:val="00F1563F"/>
    <w:rsid w:val="00F56182"/>
    <w:rsid w:val="00F677BD"/>
    <w:rsid w:val="00F70139"/>
    <w:rsid w:val="00F800B7"/>
    <w:rsid w:val="00F816FA"/>
    <w:rsid w:val="00F860B6"/>
    <w:rsid w:val="00F86BF3"/>
    <w:rsid w:val="00FA0EAF"/>
    <w:rsid w:val="00FB1C37"/>
    <w:rsid w:val="00FB4223"/>
    <w:rsid w:val="00FB567B"/>
    <w:rsid w:val="00FC1729"/>
    <w:rsid w:val="00FD0532"/>
    <w:rsid w:val="00FE0CBE"/>
    <w:rsid w:val="00FE73EB"/>
    <w:rsid w:val="00FE7763"/>
    <w:rsid w:val="00FF039B"/>
    <w:rsid w:val="00FF3026"/>
    <w:rsid w:val="00FF7A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5E4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F4727"/>
    <w:rPr>
      <w:color w:val="0000FF"/>
      <w:u w:val="single"/>
    </w:rPr>
  </w:style>
  <w:style w:type="character" w:styleId="Verwijzingopmerking">
    <w:name w:val="annotation reference"/>
    <w:basedOn w:val="Standaardalinea-lettertype"/>
    <w:uiPriority w:val="99"/>
    <w:semiHidden/>
    <w:rsid w:val="006A35E1"/>
    <w:rPr>
      <w:sz w:val="16"/>
      <w:szCs w:val="16"/>
    </w:rPr>
  </w:style>
  <w:style w:type="paragraph" w:styleId="Tekstopmerking">
    <w:name w:val="annotation text"/>
    <w:basedOn w:val="Standaard"/>
    <w:link w:val="TekstopmerkingChar"/>
    <w:uiPriority w:val="99"/>
    <w:semiHidden/>
    <w:rsid w:val="006A35E1"/>
    <w:rPr>
      <w:sz w:val="20"/>
      <w:szCs w:val="20"/>
    </w:rPr>
  </w:style>
  <w:style w:type="paragraph" w:styleId="Onderwerpvanopmerking">
    <w:name w:val="annotation subject"/>
    <w:basedOn w:val="Tekstopmerking"/>
    <w:next w:val="Tekstopmerking"/>
    <w:semiHidden/>
    <w:rsid w:val="006A35E1"/>
    <w:rPr>
      <w:b/>
      <w:bCs/>
    </w:rPr>
  </w:style>
  <w:style w:type="paragraph" w:styleId="Ballontekst">
    <w:name w:val="Balloon Text"/>
    <w:basedOn w:val="Standaard"/>
    <w:semiHidden/>
    <w:rsid w:val="006A35E1"/>
    <w:rPr>
      <w:rFonts w:ascii="Tahoma" w:hAnsi="Tahoma" w:cs="Tahoma"/>
      <w:sz w:val="16"/>
      <w:szCs w:val="16"/>
    </w:rPr>
  </w:style>
  <w:style w:type="paragraph" w:styleId="Voetnoottekst">
    <w:name w:val="footnote text"/>
    <w:basedOn w:val="Standaard"/>
    <w:semiHidden/>
    <w:rsid w:val="006A35E1"/>
    <w:rPr>
      <w:sz w:val="20"/>
      <w:szCs w:val="20"/>
    </w:rPr>
  </w:style>
  <w:style w:type="character" w:styleId="Voetnootmarkering">
    <w:name w:val="footnote reference"/>
    <w:basedOn w:val="Standaardalinea-lettertype"/>
    <w:semiHidden/>
    <w:rsid w:val="006A35E1"/>
    <w:rPr>
      <w:vertAlign w:val="superscript"/>
    </w:rPr>
  </w:style>
  <w:style w:type="table" w:styleId="Tabelraster">
    <w:name w:val="Table Grid"/>
    <w:basedOn w:val="Standaardtabel"/>
    <w:uiPriority w:val="39"/>
    <w:rsid w:val="00C7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1B2760"/>
  </w:style>
  <w:style w:type="character" w:customStyle="1" w:styleId="shorttext">
    <w:name w:val="short_text"/>
    <w:basedOn w:val="Standaardalinea-lettertype"/>
    <w:rsid w:val="001D6965"/>
  </w:style>
  <w:style w:type="character" w:customStyle="1" w:styleId="hps">
    <w:name w:val="hps"/>
    <w:basedOn w:val="Standaardalinea-lettertype"/>
    <w:rsid w:val="001D6965"/>
  </w:style>
  <w:style w:type="paragraph" w:styleId="Lijstalinea">
    <w:name w:val="List Paragraph"/>
    <w:basedOn w:val="Standaard"/>
    <w:uiPriority w:val="34"/>
    <w:qFormat/>
    <w:rsid w:val="003C49AD"/>
    <w:pPr>
      <w:ind w:left="720"/>
      <w:contextualSpacing/>
    </w:pPr>
  </w:style>
  <w:style w:type="paragraph" w:styleId="Titel">
    <w:name w:val="Title"/>
    <w:basedOn w:val="Standaard"/>
    <w:next w:val="Standaard"/>
    <w:link w:val="TitelChar"/>
    <w:uiPriority w:val="10"/>
    <w:qFormat/>
    <w:rsid w:val="005E0A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A58"/>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link w:val="GeenafstandChar"/>
    <w:uiPriority w:val="1"/>
    <w:qFormat/>
    <w:rsid w:val="00731275"/>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731275"/>
    <w:rPr>
      <w:rFonts w:asciiTheme="minorHAnsi" w:eastAsiaTheme="minorEastAsia" w:hAnsiTheme="minorHAnsi" w:cstheme="minorBidi"/>
      <w:sz w:val="22"/>
      <w:szCs w:val="22"/>
      <w:lang w:eastAsia="en-US"/>
    </w:rPr>
  </w:style>
  <w:style w:type="character" w:customStyle="1" w:styleId="normal1">
    <w:name w:val="normal1"/>
    <w:basedOn w:val="Standaardalinea-lettertype"/>
    <w:rsid w:val="000F4DA1"/>
    <w:rPr>
      <w:rFonts w:ascii="Arial" w:hAnsi="Arial" w:cs="Arial" w:hint="default"/>
      <w:color w:val="000000"/>
      <w:sz w:val="20"/>
      <w:szCs w:val="20"/>
    </w:rPr>
  </w:style>
  <w:style w:type="character" w:customStyle="1" w:styleId="result">
    <w:name w:val="result"/>
    <w:basedOn w:val="Standaardalinea-lettertype"/>
    <w:rsid w:val="000F4DA1"/>
    <w:rPr>
      <w:color w:val="000080"/>
    </w:rPr>
  </w:style>
  <w:style w:type="paragraph" w:styleId="Normaalweb">
    <w:name w:val="Normal (Web)"/>
    <w:basedOn w:val="Standaard"/>
    <w:uiPriority w:val="99"/>
    <w:unhideWhenUsed/>
    <w:rsid w:val="00213135"/>
    <w:pPr>
      <w:spacing w:before="100" w:beforeAutospacing="1" w:after="100" w:afterAutospacing="1"/>
    </w:pPr>
    <w:rPr>
      <w:lang w:val="nl-BE" w:eastAsia="nl-BE"/>
    </w:rPr>
  </w:style>
  <w:style w:type="table" w:customStyle="1" w:styleId="GridTable4Accent1">
    <w:name w:val="Grid Table 4 Accent 1"/>
    <w:basedOn w:val="Standaardtabel"/>
    <w:uiPriority w:val="49"/>
    <w:rsid w:val="008A12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5E4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F4727"/>
    <w:rPr>
      <w:color w:val="0000FF"/>
      <w:u w:val="single"/>
    </w:rPr>
  </w:style>
  <w:style w:type="character" w:styleId="Verwijzingopmerking">
    <w:name w:val="annotation reference"/>
    <w:basedOn w:val="Standaardalinea-lettertype"/>
    <w:uiPriority w:val="99"/>
    <w:semiHidden/>
    <w:rsid w:val="006A35E1"/>
    <w:rPr>
      <w:sz w:val="16"/>
      <w:szCs w:val="16"/>
    </w:rPr>
  </w:style>
  <w:style w:type="paragraph" w:styleId="Tekstopmerking">
    <w:name w:val="annotation text"/>
    <w:basedOn w:val="Standaard"/>
    <w:link w:val="TekstopmerkingChar"/>
    <w:uiPriority w:val="99"/>
    <w:semiHidden/>
    <w:rsid w:val="006A35E1"/>
    <w:rPr>
      <w:sz w:val="20"/>
      <w:szCs w:val="20"/>
    </w:rPr>
  </w:style>
  <w:style w:type="paragraph" w:styleId="Onderwerpvanopmerking">
    <w:name w:val="annotation subject"/>
    <w:basedOn w:val="Tekstopmerking"/>
    <w:next w:val="Tekstopmerking"/>
    <w:semiHidden/>
    <w:rsid w:val="006A35E1"/>
    <w:rPr>
      <w:b/>
      <w:bCs/>
    </w:rPr>
  </w:style>
  <w:style w:type="paragraph" w:styleId="Ballontekst">
    <w:name w:val="Balloon Text"/>
    <w:basedOn w:val="Standaard"/>
    <w:semiHidden/>
    <w:rsid w:val="006A35E1"/>
    <w:rPr>
      <w:rFonts w:ascii="Tahoma" w:hAnsi="Tahoma" w:cs="Tahoma"/>
      <w:sz w:val="16"/>
      <w:szCs w:val="16"/>
    </w:rPr>
  </w:style>
  <w:style w:type="paragraph" w:styleId="Voetnoottekst">
    <w:name w:val="footnote text"/>
    <w:basedOn w:val="Standaard"/>
    <w:semiHidden/>
    <w:rsid w:val="006A35E1"/>
    <w:rPr>
      <w:sz w:val="20"/>
      <w:szCs w:val="20"/>
    </w:rPr>
  </w:style>
  <w:style w:type="character" w:styleId="Voetnootmarkering">
    <w:name w:val="footnote reference"/>
    <w:basedOn w:val="Standaardalinea-lettertype"/>
    <w:semiHidden/>
    <w:rsid w:val="006A35E1"/>
    <w:rPr>
      <w:vertAlign w:val="superscript"/>
    </w:rPr>
  </w:style>
  <w:style w:type="table" w:styleId="Tabelraster">
    <w:name w:val="Table Grid"/>
    <w:basedOn w:val="Standaardtabel"/>
    <w:uiPriority w:val="39"/>
    <w:rsid w:val="00C7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1B2760"/>
  </w:style>
  <w:style w:type="character" w:customStyle="1" w:styleId="shorttext">
    <w:name w:val="short_text"/>
    <w:basedOn w:val="Standaardalinea-lettertype"/>
    <w:rsid w:val="001D6965"/>
  </w:style>
  <w:style w:type="character" w:customStyle="1" w:styleId="hps">
    <w:name w:val="hps"/>
    <w:basedOn w:val="Standaardalinea-lettertype"/>
    <w:rsid w:val="001D6965"/>
  </w:style>
  <w:style w:type="paragraph" w:styleId="Lijstalinea">
    <w:name w:val="List Paragraph"/>
    <w:basedOn w:val="Standaard"/>
    <w:uiPriority w:val="34"/>
    <w:qFormat/>
    <w:rsid w:val="003C49AD"/>
    <w:pPr>
      <w:ind w:left="720"/>
      <w:contextualSpacing/>
    </w:pPr>
  </w:style>
  <w:style w:type="paragraph" w:styleId="Titel">
    <w:name w:val="Title"/>
    <w:basedOn w:val="Standaard"/>
    <w:next w:val="Standaard"/>
    <w:link w:val="TitelChar"/>
    <w:uiPriority w:val="10"/>
    <w:qFormat/>
    <w:rsid w:val="005E0A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A58"/>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link w:val="GeenafstandChar"/>
    <w:uiPriority w:val="1"/>
    <w:qFormat/>
    <w:rsid w:val="00731275"/>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731275"/>
    <w:rPr>
      <w:rFonts w:asciiTheme="minorHAnsi" w:eastAsiaTheme="minorEastAsia" w:hAnsiTheme="minorHAnsi" w:cstheme="minorBidi"/>
      <w:sz w:val="22"/>
      <w:szCs w:val="22"/>
      <w:lang w:eastAsia="en-US"/>
    </w:rPr>
  </w:style>
  <w:style w:type="character" w:customStyle="1" w:styleId="normal1">
    <w:name w:val="normal1"/>
    <w:basedOn w:val="Standaardalinea-lettertype"/>
    <w:rsid w:val="000F4DA1"/>
    <w:rPr>
      <w:rFonts w:ascii="Arial" w:hAnsi="Arial" w:cs="Arial" w:hint="default"/>
      <w:color w:val="000000"/>
      <w:sz w:val="20"/>
      <w:szCs w:val="20"/>
    </w:rPr>
  </w:style>
  <w:style w:type="character" w:customStyle="1" w:styleId="result">
    <w:name w:val="result"/>
    <w:basedOn w:val="Standaardalinea-lettertype"/>
    <w:rsid w:val="000F4DA1"/>
    <w:rPr>
      <w:color w:val="000080"/>
    </w:rPr>
  </w:style>
  <w:style w:type="paragraph" w:styleId="Normaalweb">
    <w:name w:val="Normal (Web)"/>
    <w:basedOn w:val="Standaard"/>
    <w:uiPriority w:val="99"/>
    <w:unhideWhenUsed/>
    <w:rsid w:val="00213135"/>
    <w:pPr>
      <w:spacing w:before="100" w:beforeAutospacing="1" w:after="100" w:afterAutospacing="1"/>
    </w:pPr>
    <w:rPr>
      <w:lang w:val="nl-BE" w:eastAsia="nl-BE"/>
    </w:rPr>
  </w:style>
  <w:style w:type="table" w:customStyle="1" w:styleId="GridTable4Accent1">
    <w:name w:val="Grid Table 4 Accent 1"/>
    <w:basedOn w:val="Standaardtabel"/>
    <w:uiPriority w:val="49"/>
    <w:rsid w:val="008A12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8424">
      <w:bodyDiv w:val="1"/>
      <w:marLeft w:val="0"/>
      <w:marRight w:val="0"/>
      <w:marTop w:val="0"/>
      <w:marBottom w:val="0"/>
      <w:divBdr>
        <w:top w:val="none" w:sz="0" w:space="0" w:color="auto"/>
        <w:left w:val="none" w:sz="0" w:space="0" w:color="auto"/>
        <w:bottom w:val="none" w:sz="0" w:space="0" w:color="auto"/>
        <w:right w:val="none" w:sz="0" w:space="0" w:color="auto"/>
      </w:divBdr>
    </w:div>
    <w:div w:id="500049230">
      <w:bodyDiv w:val="1"/>
      <w:marLeft w:val="0"/>
      <w:marRight w:val="0"/>
      <w:marTop w:val="0"/>
      <w:marBottom w:val="0"/>
      <w:divBdr>
        <w:top w:val="none" w:sz="0" w:space="0" w:color="auto"/>
        <w:left w:val="none" w:sz="0" w:space="0" w:color="auto"/>
        <w:bottom w:val="none" w:sz="0" w:space="0" w:color="auto"/>
        <w:right w:val="none" w:sz="0" w:space="0" w:color="auto"/>
      </w:divBdr>
    </w:div>
    <w:div w:id="541140062">
      <w:bodyDiv w:val="1"/>
      <w:marLeft w:val="0"/>
      <w:marRight w:val="0"/>
      <w:marTop w:val="0"/>
      <w:marBottom w:val="0"/>
      <w:divBdr>
        <w:top w:val="none" w:sz="0" w:space="0" w:color="auto"/>
        <w:left w:val="none" w:sz="0" w:space="0" w:color="auto"/>
        <w:bottom w:val="none" w:sz="0" w:space="0" w:color="auto"/>
        <w:right w:val="none" w:sz="0" w:space="0" w:color="auto"/>
      </w:divBdr>
      <w:divsChild>
        <w:div w:id="157964342">
          <w:marLeft w:val="0"/>
          <w:marRight w:val="0"/>
          <w:marTop w:val="0"/>
          <w:marBottom w:val="0"/>
          <w:divBdr>
            <w:top w:val="none" w:sz="0" w:space="0" w:color="auto"/>
            <w:left w:val="none" w:sz="0" w:space="0" w:color="auto"/>
            <w:bottom w:val="none" w:sz="0" w:space="0" w:color="auto"/>
            <w:right w:val="none" w:sz="0" w:space="0" w:color="auto"/>
          </w:divBdr>
        </w:div>
      </w:divsChild>
    </w:div>
    <w:div w:id="721439493">
      <w:bodyDiv w:val="1"/>
      <w:marLeft w:val="0"/>
      <w:marRight w:val="0"/>
      <w:marTop w:val="0"/>
      <w:marBottom w:val="0"/>
      <w:divBdr>
        <w:top w:val="none" w:sz="0" w:space="0" w:color="auto"/>
        <w:left w:val="none" w:sz="0" w:space="0" w:color="auto"/>
        <w:bottom w:val="none" w:sz="0" w:space="0" w:color="auto"/>
        <w:right w:val="none" w:sz="0" w:space="0" w:color="auto"/>
      </w:divBdr>
      <w:divsChild>
        <w:div w:id="1489400694">
          <w:marLeft w:val="0"/>
          <w:marRight w:val="0"/>
          <w:marTop w:val="0"/>
          <w:marBottom w:val="0"/>
          <w:divBdr>
            <w:top w:val="none" w:sz="0" w:space="0" w:color="auto"/>
            <w:left w:val="none" w:sz="0" w:space="0" w:color="auto"/>
            <w:bottom w:val="none" w:sz="0" w:space="0" w:color="auto"/>
            <w:right w:val="none" w:sz="0" w:space="0" w:color="auto"/>
          </w:divBdr>
          <w:divsChild>
            <w:div w:id="476531823">
              <w:marLeft w:val="0"/>
              <w:marRight w:val="0"/>
              <w:marTop w:val="0"/>
              <w:marBottom w:val="0"/>
              <w:divBdr>
                <w:top w:val="none" w:sz="0" w:space="0" w:color="auto"/>
                <w:left w:val="none" w:sz="0" w:space="0" w:color="auto"/>
                <w:bottom w:val="none" w:sz="0" w:space="0" w:color="auto"/>
                <w:right w:val="none" w:sz="0" w:space="0" w:color="auto"/>
              </w:divBdr>
            </w:div>
            <w:div w:id="9614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564">
      <w:bodyDiv w:val="1"/>
      <w:marLeft w:val="0"/>
      <w:marRight w:val="0"/>
      <w:marTop w:val="0"/>
      <w:marBottom w:val="0"/>
      <w:divBdr>
        <w:top w:val="none" w:sz="0" w:space="0" w:color="auto"/>
        <w:left w:val="none" w:sz="0" w:space="0" w:color="auto"/>
        <w:bottom w:val="none" w:sz="0" w:space="0" w:color="auto"/>
        <w:right w:val="none" w:sz="0" w:space="0" w:color="auto"/>
      </w:divBdr>
    </w:div>
    <w:div w:id="1141725471">
      <w:bodyDiv w:val="1"/>
      <w:marLeft w:val="0"/>
      <w:marRight w:val="0"/>
      <w:marTop w:val="0"/>
      <w:marBottom w:val="0"/>
      <w:divBdr>
        <w:top w:val="none" w:sz="0" w:space="0" w:color="auto"/>
        <w:left w:val="none" w:sz="0" w:space="0" w:color="auto"/>
        <w:bottom w:val="none" w:sz="0" w:space="0" w:color="auto"/>
        <w:right w:val="none" w:sz="0" w:space="0" w:color="auto"/>
      </w:divBdr>
      <w:divsChild>
        <w:div w:id="3558103">
          <w:marLeft w:val="0"/>
          <w:marRight w:val="0"/>
          <w:marTop w:val="0"/>
          <w:marBottom w:val="0"/>
          <w:divBdr>
            <w:top w:val="none" w:sz="0" w:space="0" w:color="auto"/>
            <w:left w:val="none" w:sz="0" w:space="0" w:color="auto"/>
            <w:bottom w:val="none" w:sz="0" w:space="0" w:color="auto"/>
            <w:right w:val="none" w:sz="0" w:space="0" w:color="auto"/>
          </w:divBdr>
        </w:div>
        <w:div w:id="231430134">
          <w:marLeft w:val="0"/>
          <w:marRight w:val="0"/>
          <w:marTop w:val="0"/>
          <w:marBottom w:val="0"/>
          <w:divBdr>
            <w:top w:val="none" w:sz="0" w:space="0" w:color="auto"/>
            <w:left w:val="none" w:sz="0" w:space="0" w:color="auto"/>
            <w:bottom w:val="none" w:sz="0" w:space="0" w:color="auto"/>
            <w:right w:val="none" w:sz="0" w:space="0" w:color="auto"/>
          </w:divBdr>
        </w:div>
        <w:div w:id="248856583">
          <w:marLeft w:val="0"/>
          <w:marRight w:val="0"/>
          <w:marTop w:val="0"/>
          <w:marBottom w:val="0"/>
          <w:divBdr>
            <w:top w:val="none" w:sz="0" w:space="0" w:color="auto"/>
            <w:left w:val="none" w:sz="0" w:space="0" w:color="auto"/>
            <w:bottom w:val="none" w:sz="0" w:space="0" w:color="auto"/>
            <w:right w:val="none" w:sz="0" w:space="0" w:color="auto"/>
          </w:divBdr>
        </w:div>
        <w:div w:id="324556366">
          <w:marLeft w:val="0"/>
          <w:marRight w:val="0"/>
          <w:marTop w:val="0"/>
          <w:marBottom w:val="0"/>
          <w:divBdr>
            <w:top w:val="none" w:sz="0" w:space="0" w:color="auto"/>
            <w:left w:val="none" w:sz="0" w:space="0" w:color="auto"/>
            <w:bottom w:val="none" w:sz="0" w:space="0" w:color="auto"/>
            <w:right w:val="none" w:sz="0" w:space="0" w:color="auto"/>
          </w:divBdr>
        </w:div>
        <w:div w:id="332953246">
          <w:marLeft w:val="0"/>
          <w:marRight w:val="0"/>
          <w:marTop w:val="0"/>
          <w:marBottom w:val="0"/>
          <w:divBdr>
            <w:top w:val="none" w:sz="0" w:space="0" w:color="auto"/>
            <w:left w:val="none" w:sz="0" w:space="0" w:color="auto"/>
            <w:bottom w:val="none" w:sz="0" w:space="0" w:color="auto"/>
            <w:right w:val="none" w:sz="0" w:space="0" w:color="auto"/>
          </w:divBdr>
        </w:div>
        <w:div w:id="401413638">
          <w:marLeft w:val="0"/>
          <w:marRight w:val="0"/>
          <w:marTop w:val="0"/>
          <w:marBottom w:val="0"/>
          <w:divBdr>
            <w:top w:val="none" w:sz="0" w:space="0" w:color="auto"/>
            <w:left w:val="none" w:sz="0" w:space="0" w:color="auto"/>
            <w:bottom w:val="none" w:sz="0" w:space="0" w:color="auto"/>
            <w:right w:val="none" w:sz="0" w:space="0" w:color="auto"/>
          </w:divBdr>
        </w:div>
        <w:div w:id="623464750">
          <w:marLeft w:val="0"/>
          <w:marRight w:val="0"/>
          <w:marTop w:val="0"/>
          <w:marBottom w:val="0"/>
          <w:divBdr>
            <w:top w:val="none" w:sz="0" w:space="0" w:color="auto"/>
            <w:left w:val="none" w:sz="0" w:space="0" w:color="auto"/>
            <w:bottom w:val="none" w:sz="0" w:space="0" w:color="auto"/>
            <w:right w:val="none" w:sz="0" w:space="0" w:color="auto"/>
          </w:divBdr>
        </w:div>
        <w:div w:id="656693726">
          <w:marLeft w:val="0"/>
          <w:marRight w:val="0"/>
          <w:marTop w:val="0"/>
          <w:marBottom w:val="0"/>
          <w:divBdr>
            <w:top w:val="none" w:sz="0" w:space="0" w:color="auto"/>
            <w:left w:val="none" w:sz="0" w:space="0" w:color="auto"/>
            <w:bottom w:val="none" w:sz="0" w:space="0" w:color="auto"/>
            <w:right w:val="none" w:sz="0" w:space="0" w:color="auto"/>
          </w:divBdr>
        </w:div>
        <w:div w:id="663508102">
          <w:marLeft w:val="0"/>
          <w:marRight w:val="0"/>
          <w:marTop w:val="0"/>
          <w:marBottom w:val="0"/>
          <w:divBdr>
            <w:top w:val="none" w:sz="0" w:space="0" w:color="auto"/>
            <w:left w:val="none" w:sz="0" w:space="0" w:color="auto"/>
            <w:bottom w:val="none" w:sz="0" w:space="0" w:color="auto"/>
            <w:right w:val="none" w:sz="0" w:space="0" w:color="auto"/>
          </w:divBdr>
        </w:div>
        <w:div w:id="713770274">
          <w:marLeft w:val="0"/>
          <w:marRight w:val="0"/>
          <w:marTop w:val="0"/>
          <w:marBottom w:val="0"/>
          <w:divBdr>
            <w:top w:val="none" w:sz="0" w:space="0" w:color="auto"/>
            <w:left w:val="none" w:sz="0" w:space="0" w:color="auto"/>
            <w:bottom w:val="none" w:sz="0" w:space="0" w:color="auto"/>
            <w:right w:val="none" w:sz="0" w:space="0" w:color="auto"/>
          </w:divBdr>
        </w:div>
        <w:div w:id="745298734">
          <w:marLeft w:val="0"/>
          <w:marRight w:val="0"/>
          <w:marTop w:val="0"/>
          <w:marBottom w:val="0"/>
          <w:divBdr>
            <w:top w:val="none" w:sz="0" w:space="0" w:color="auto"/>
            <w:left w:val="none" w:sz="0" w:space="0" w:color="auto"/>
            <w:bottom w:val="none" w:sz="0" w:space="0" w:color="auto"/>
            <w:right w:val="none" w:sz="0" w:space="0" w:color="auto"/>
          </w:divBdr>
        </w:div>
        <w:div w:id="806511880">
          <w:marLeft w:val="0"/>
          <w:marRight w:val="0"/>
          <w:marTop w:val="0"/>
          <w:marBottom w:val="0"/>
          <w:divBdr>
            <w:top w:val="none" w:sz="0" w:space="0" w:color="auto"/>
            <w:left w:val="none" w:sz="0" w:space="0" w:color="auto"/>
            <w:bottom w:val="none" w:sz="0" w:space="0" w:color="auto"/>
            <w:right w:val="none" w:sz="0" w:space="0" w:color="auto"/>
          </w:divBdr>
        </w:div>
        <w:div w:id="938608471">
          <w:marLeft w:val="0"/>
          <w:marRight w:val="0"/>
          <w:marTop w:val="0"/>
          <w:marBottom w:val="0"/>
          <w:divBdr>
            <w:top w:val="none" w:sz="0" w:space="0" w:color="auto"/>
            <w:left w:val="none" w:sz="0" w:space="0" w:color="auto"/>
            <w:bottom w:val="none" w:sz="0" w:space="0" w:color="auto"/>
            <w:right w:val="none" w:sz="0" w:space="0" w:color="auto"/>
          </w:divBdr>
        </w:div>
        <w:div w:id="1122572207">
          <w:marLeft w:val="0"/>
          <w:marRight w:val="0"/>
          <w:marTop w:val="0"/>
          <w:marBottom w:val="0"/>
          <w:divBdr>
            <w:top w:val="none" w:sz="0" w:space="0" w:color="auto"/>
            <w:left w:val="none" w:sz="0" w:space="0" w:color="auto"/>
            <w:bottom w:val="none" w:sz="0" w:space="0" w:color="auto"/>
            <w:right w:val="none" w:sz="0" w:space="0" w:color="auto"/>
          </w:divBdr>
        </w:div>
        <w:div w:id="1268581677">
          <w:marLeft w:val="0"/>
          <w:marRight w:val="0"/>
          <w:marTop w:val="0"/>
          <w:marBottom w:val="0"/>
          <w:divBdr>
            <w:top w:val="none" w:sz="0" w:space="0" w:color="auto"/>
            <w:left w:val="none" w:sz="0" w:space="0" w:color="auto"/>
            <w:bottom w:val="none" w:sz="0" w:space="0" w:color="auto"/>
            <w:right w:val="none" w:sz="0" w:space="0" w:color="auto"/>
          </w:divBdr>
        </w:div>
        <w:div w:id="1385563223">
          <w:marLeft w:val="0"/>
          <w:marRight w:val="0"/>
          <w:marTop w:val="0"/>
          <w:marBottom w:val="0"/>
          <w:divBdr>
            <w:top w:val="none" w:sz="0" w:space="0" w:color="auto"/>
            <w:left w:val="none" w:sz="0" w:space="0" w:color="auto"/>
            <w:bottom w:val="none" w:sz="0" w:space="0" w:color="auto"/>
            <w:right w:val="none" w:sz="0" w:space="0" w:color="auto"/>
          </w:divBdr>
        </w:div>
        <w:div w:id="1602833073">
          <w:marLeft w:val="0"/>
          <w:marRight w:val="0"/>
          <w:marTop w:val="0"/>
          <w:marBottom w:val="0"/>
          <w:divBdr>
            <w:top w:val="none" w:sz="0" w:space="0" w:color="auto"/>
            <w:left w:val="none" w:sz="0" w:space="0" w:color="auto"/>
            <w:bottom w:val="none" w:sz="0" w:space="0" w:color="auto"/>
            <w:right w:val="none" w:sz="0" w:space="0" w:color="auto"/>
          </w:divBdr>
        </w:div>
        <w:div w:id="1819108564">
          <w:marLeft w:val="0"/>
          <w:marRight w:val="0"/>
          <w:marTop w:val="0"/>
          <w:marBottom w:val="0"/>
          <w:divBdr>
            <w:top w:val="none" w:sz="0" w:space="0" w:color="auto"/>
            <w:left w:val="none" w:sz="0" w:space="0" w:color="auto"/>
            <w:bottom w:val="none" w:sz="0" w:space="0" w:color="auto"/>
            <w:right w:val="none" w:sz="0" w:space="0" w:color="auto"/>
          </w:divBdr>
        </w:div>
        <w:div w:id="1850557416">
          <w:marLeft w:val="0"/>
          <w:marRight w:val="0"/>
          <w:marTop w:val="0"/>
          <w:marBottom w:val="0"/>
          <w:divBdr>
            <w:top w:val="none" w:sz="0" w:space="0" w:color="auto"/>
            <w:left w:val="none" w:sz="0" w:space="0" w:color="auto"/>
            <w:bottom w:val="none" w:sz="0" w:space="0" w:color="auto"/>
            <w:right w:val="none" w:sz="0" w:space="0" w:color="auto"/>
          </w:divBdr>
        </w:div>
        <w:div w:id="1993750086">
          <w:marLeft w:val="0"/>
          <w:marRight w:val="0"/>
          <w:marTop w:val="0"/>
          <w:marBottom w:val="0"/>
          <w:divBdr>
            <w:top w:val="none" w:sz="0" w:space="0" w:color="auto"/>
            <w:left w:val="none" w:sz="0" w:space="0" w:color="auto"/>
            <w:bottom w:val="none" w:sz="0" w:space="0" w:color="auto"/>
            <w:right w:val="none" w:sz="0" w:space="0" w:color="auto"/>
          </w:divBdr>
        </w:div>
      </w:divsChild>
    </w:div>
    <w:div w:id="1512525323">
      <w:bodyDiv w:val="1"/>
      <w:marLeft w:val="0"/>
      <w:marRight w:val="0"/>
      <w:marTop w:val="0"/>
      <w:marBottom w:val="0"/>
      <w:divBdr>
        <w:top w:val="none" w:sz="0" w:space="0" w:color="auto"/>
        <w:left w:val="none" w:sz="0" w:space="0" w:color="auto"/>
        <w:bottom w:val="none" w:sz="0" w:space="0" w:color="auto"/>
        <w:right w:val="none" w:sz="0" w:space="0" w:color="auto"/>
      </w:divBdr>
    </w:div>
    <w:div w:id="1816949174">
      <w:bodyDiv w:val="1"/>
      <w:marLeft w:val="0"/>
      <w:marRight w:val="0"/>
      <w:marTop w:val="0"/>
      <w:marBottom w:val="0"/>
      <w:divBdr>
        <w:top w:val="none" w:sz="0" w:space="0" w:color="auto"/>
        <w:left w:val="none" w:sz="0" w:space="0" w:color="auto"/>
        <w:bottom w:val="none" w:sz="0" w:space="0" w:color="auto"/>
        <w:right w:val="none" w:sz="0" w:space="0" w:color="auto"/>
      </w:divBdr>
    </w:div>
    <w:div w:id="1999771081">
      <w:bodyDiv w:val="1"/>
      <w:marLeft w:val="0"/>
      <w:marRight w:val="0"/>
      <w:marTop w:val="0"/>
      <w:marBottom w:val="0"/>
      <w:divBdr>
        <w:top w:val="none" w:sz="0" w:space="0" w:color="auto"/>
        <w:left w:val="none" w:sz="0" w:space="0" w:color="auto"/>
        <w:bottom w:val="none" w:sz="0" w:space="0" w:color="auto"/>
        <w:right w:val="none" w:sz="0" w:space="0" w:color="auto"/>
      </w:divBdr>
      <w:divsChild>
        <w:div w:id="203699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xfordmedicine.com/view/10.1093/med/9780199687039.001.0001/med-97801996870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mbdaplu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 hospital</a:t>
            </a:r>
            <a:r>
              <a:rPr lang="en-US" baseline="0"/>
              <a:t> </a:t>
            </a:r>
            <a:r>
              <a:rPr lang="en-US"/>
              <a:t>mortality</a:t>
            </a:r>
          </a:p>
        </c:rich>
      </c:tx>
      <c:overlay val="0"/>
      <c:spPr>
        <a:noFill/>
        <a:ln>
          <a:noFill/>
        </a:ln>
        <a:effectLst/>
      </c:spPr>
    </c:title>
    <c:autoTitleDeleted val="0"/>
    <c:plotArea>
      <c:layout/>
      <c:barChart>
        <c:barDir val="col"/>
        <c:grouping val="clustered"/>
        <c:varyColors val="0"/>
        <c:ser>
          <c:idx val="0"/>
          <c:order val="0"/>
          <c:tx>
            <c:strRef>
              <c:f>Blad1!$B$1</c:f>
              <c:strCache>
                <c:ptCount val="1"/>
                <c:pt idx="0">
                  <c:v>mortality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Blad1!$A$2:$A$4</c:f>
              <c:strCache>
                <c:ptCount val="3"/>
                <c:pt idx="0">
                  <c:v>score0-2</c:v>
                </c:pt>
                <c:pt idx="1">
                  <c:v>score 3-4</c:v>
                </c:pt>
                <c:pt idx="2">
                  <c:v>score 5-6</c:v>
                </c:pt>
              </c:strCache>
            </c:strRef>
          </c:cat>
          <c:val>
            <c:numRef>
              <c:f>Blad1!$B$2:$B$4</c:f>
              <c:numCache>
                <c:formatCode>General</c:formatCode>
                <c:ptCount val="3"/>
                <c:pt idx="0">
                  <c:v>12.8</c:v>
                </c:pt>
                <c:pt idx="1">
                  <c:v>6.7</c:v>
                </c:pt>
                <c:pt idx="2">
                  <c:v>5.2</c:v>
                </c:pt>
              </c:numCache>
            </c:numRef>
          </c:val>
          <c:extLst xmlns:c16r2="http://schemas.microsoft.com/office/drawing/2015/06/chart">
            <c:ext xmlns:c16="http://schemas.microsoft.com/office/drawing/2014/chart" uri="{C3380CC4-5D6E-409C-BE32-E72D297353CC}">
              <c16:uniqueId val="{00000000-3DF2-40FD-BAB0-B279C73EB5E5}"/>
            </c:ext>
          </c:extLst>
        </c:ser>
        <c:dLbls>
          <c:showLegendKey val="0"/>
          <c:showVal val="0"/>
          <c:showCatName val="0"/>
          <c:showSerName val="0"/>
          <c:showPercent val="0"/>
          <c:showBubbleSize val="0"/>
        </c:dLbls>
        <c:gapWidth val="219"/>
        <c:overlap val="-27"/>
        <c:axId val="190643200"/>
        <c:axId val="245445376"/>
      </c:barChart>
      <c:catAx>
        <c:axId val="19064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245445376"/>
        <c:crosses val="autoZero"/>
        <c:auto val="1"/>
        <c:lblAlgn val="ctr"/>
        <c:lblOffset val="100"/>
        <c:noMultiLvlLbl val="0"/>
      </c:catAx>
      <c:valAx>
        <c:axId val="24544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4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2018-05-10T00:00:00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1715</Words>
  <Characters>9781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quality indicators and mortality in  Belgian STEMI patients</vt:lpstr>
    </vt:vector>
  </TitlesOfParts>
  <Company>National Coordinator STEMI registry</Company>
  <LinksUpToDate>false</LinksUpToDate>
  <CharactersWithSpaces>11474</CharactersWithSpaces>
  <SharedDoc>false</SharedDoc>
  <HLinks>
    <vt:vector size="12" baseType="variant">
      <vt:variant>
        <vt:i4>7536733</vt:i4>
      </vt:variant>
      <vt:variant>
        <vt:i4>6</vt:i4>
      </vt:variant>
      <vt:variant>
        <vt:i4>0</vt:i4>
      </vt:variant>
      <vt:variant>
        <vt:i4>5</vt:i4>
      </vt:variant>
      <vt:variant>
        <vt:lpwstr>mailto:marc.claeys@ua.ac.be</vt:lpwstr>
      </vt:variant>
      <vt:variant>
        <vt:lpwstr/>
      </vt:variant>
      <vt:variant>
        <vt:i4>2424867</vt:i4>
      </vt:variant>
      <vt:variant>
        <vt:i4>0</vt:i4>
      </vt:variant>
      <vt:variant>
        <vt:i4>0</vt:i4>
      </vt:variant>
      <vt:variant>
        <vt:i4>5</vt:i4>
      </vt:variant>
      <vt:variant>
        <vt:lpwstr>http://www.lambdaplus.com/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indicators and mortality in  Belgian STEMI patients</dc:title>
  <dc:creator>Prof dr  M Claeys</dc:creator>
  <cp:lastModifiedBy>karel en hannah</cp:lastModifiedBy>
  <cp:revision>3</cp:revision>
  <dcterms:created xsi:type="dcterms:W3CDTF">2018-10-25T17:24:00Z</dcterms:created>
  <dcterms:modified xsi:type="dcterms:W3CDTF">2018-10-25T17:25:00Z</dcterms:modified>
</cp:coreProperties>
</file>